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8840B" w14:textId="3F6623E2" w:rsidR="00A8484D" w:rsidRPr="00223BDA" w:rsidRDefault="00A8484D" w:rsidP="00A8484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 w:rsidRPr="00223BDA">
        <w:rPr>
          <w:rFonts w:ascii="Cambria" w:hAnsi="Cambria"/>
          <w:b/>
          <w:szCs w:val="24"/>
        </w:rPr>
        <w:t>Załącznik Nr 1</w:t>
      </w:r>
      <w:r w:rsidR="005B3633">
        <w:rPr>
          <w:rFonts w:ascii="Cambria" w:hAnsi="Cambria"/>
          <w:b/>
          <w:szCs w:val="24"/>
        </w:rPr>
        <w:t>0</w:t>
      </w:r>
      <w:r w:rsidRPr="00223BDA">
        <w:rPr>
          <w:rFonts w:ascii="Cambria" w:hAnsi="Cambria"/>
          <w:b/>
          <w:szCs w:val="24"/>
        </w:rPr>
        <w:t xml:space="preserve"> d</w:t>
      </w:r>
      <w:r w:rsidRPr="00223BDA">
        <w:rPr>
          <w:rFonts w:ascii="Cambria" w:hAnsi="Cambria"/>
          <w:b/>
          <w:bCs/>
          <w:szCs w:val="24"/>
        </w:rPr>
        <w:t>o SWZ</w:t>
      </w:r>
    </w:p>
    <w:p w14:paraId="726E916E" w14:textId="77777777" w:rsidR="00A8484D" w:rsidRPr="00223BDA" w:rsidRDefault="00A8484D" w:rsidP="00A8484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23BDA">
        <w:rPr>
          <w:rFonts w:ascii="Cambria" w:hAnsi="Cambria"/>
          <w:b/>
          <w:sz w:val="26"/>
          <w:szCs w:val="26"/>
        </w:rPr>
        <w:t>Opis przedmiotu zamówienia</w:t>
      </w:r>
    </w:p>
    <w:p w14:paraId="16CE1755" w14:textId="77777777" w:rsidR="00FE1448" w:rsidRPr="000F3E25" w:rsidRDefault="00FE1448">
      <w:pPr>
        <w:pStyle w:val="Standard"/>
        <w:ind w:left="573" w:right="559"/>
        <w:jc w:val="center"/>
        <w:rPr>
          <w:b/>
          <w:bCs/>
          <w:color w:val="C00000"/>
          <w:sz w:val="28"/>
          <w:szCs w:val="28"/>
        </w:rPr>
      </w:pPr>
    </w:p>
    <w:p w14:paraId="7B61E0C8" w14:textId="77777777" w:rsidR="00FE1448" w:rsidRPr="000F3E25" w:rsidRDefault="00FE1448" w:rsidP="005824BA">
      <w:pPr>
        <w:pStyle w:val="Standard"/>
        <w:tabs>
          <w:tab w:val="left" w:pos="630"/>
        </w:tabs>
        <w:ind w:left="555"/>
        <w:jc w:val="center"/>
        <w:rPr>
          <w:color w:val="C00000"/>
        </w:rPr>
      </w:pPr>
    </w:p>
    <w:p w14:paraId="4E663F08" w14:textId="3EFBA240" w:rsidR="00CE5B96" w:rsidRDefault="00B01B06" w:rsidP="0030456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ahoma" w:eastAsia="Calibri" w:hAnsi="Tahoma"/>
          <w:b/>
          <w:kern w:val="0"/>
          <w:lang w:val="pl-PL" w:eastAsia="en-US" w:bidi="ar-SA"/>
        </w:rPr>
      </w:pPr>
      <w:bookmarkStart w:id="0" w:name="_Hlk86306080"/>
      <w:r w:rsidRPr="00CE5B96">
        <w:rPr>
          <w:rFonts w:ascii="Tahoma" w:eastAsia="Calibri" w:hAnsi="Tahoma"/>
          <w:b/>
          <w:kern w:val="0"/>
          <w:lang w:val="pl-PL" w:eastAsia="en-US" w:bidi="ar-SA"/>
        </w:rPr>
        <w:t>1) Przedmiotem zamówienia jest:</w:t>
      </w:r>
      <w:bookmarkEnd w:id="0"/>
    </w:p>
    <w:p w14:paraId="1079F0B5" w14:textId="77777777" w:rsidR="005B3633" w:rsidRPr="005B3633" w:rsidRDefault="005B3633" w:rsidP="005B3633">
      <w:pPr>
        <w:widowControl/>
        <w:numPr>
          <w:ilvl w:val="1"/>
          <w:numId w:val="41"/>
        </w:numPr>
        <w:suppressAutoHyphens w:val="0"/>
        <w:autoSpaceDN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Opracowanie projektu planu ogólnego dla Gminy Węgorzyno</w:t>
      </w:r>
    </w:p>
    <w:p w14:paraId="3114124B" w14:textId="77777777" w:rsidR="005B3633" w:rsidRPr="005B3633" w:rsidRDefault="005B3633" w:rsidP="005B3633">
      <w:pPr>
        <w:widowControl/>
        <w:numPr>
          <w:ilvl w:val="1"/>
          <w:numId w:val="41"/>
        </w:numPr>
        <w:suppressAutoHyphens w:val="0"/>
        <w:autoSpaceDN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Plan będący przedmiotem zamówienia, należy wykonać zgodnie z obowiązującymi aktami prawnymi, w tym w szczególności z:</w:t>
      </w:r>
    </w:p>
    <w:p w14:paraId="6A0E861C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zgodnie z zapisami uchwały Nr III/20/2024 Rady Miejskiej w Węgorzynie z dnia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br/>
        <w:t>18 czerwca 2024r. w sprawie przystąpienia do sporządzenia planu ogólnego Gminy Węgorzyno,</w:t>
      </w:r>
    </w:p>
    <w:p w14:paraId="4A3BC939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z zachowaniem wymogów oraz procedury określonej w ustawie z dnia 27 marca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br/>
        <w:t xml:space="preserve">2003 r. o planowaniu i zagospodarowaniu przestrzennym (Dz. U. z  2023 r. poz. 977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br/>
        <w:t>z późn. zm.),</w:t>
      </w:r>
    </w:p>
    <w:p w14:paraId="72A35C81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rozporządzeniem Ministra Rozwoju i Technologii z dnia 8 grudnia 2023 r. w sprawie sposobu projektu planu ogólnego gminy, dokumentowania prac planistycznych w zakresie tego planu oraz wydania z niego wypisów i wyrysów (Dz.U. z 2023 r., poz. 2758),</w:t>
      </w:r>
    </w:p>
    <w:p w14:paraId="0020C80A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ustawą z dnia 3 października 2008 roku o udostępnianiu informacji o środowisku i jego ochronie, udziale społeczeństwa w ochronie środowiska oraz ocenach oddziaływania na środowisko (Dz. U. z 2023 r., poz. 1094 ze zm.),</w:t>
      </w:r>
    </w:p>
    <w:p w14:paraId="04A6CED3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z uwzględnieniem uwag zgłaszanych przez Zamawiającego w trakcie realizacji umowy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br/>
        <w:t>i aktualnego orzeczenia sądowego dotyczącego zagospodarowania przestrzennego,</w:t>
      </w:r>
    </w:p>
    <w:p w14:paraId="0E59280F" w14:textId="77777777" w:rsidR="005B3633" w:rsidRPr="005B3633" w:rsidRDefault="005B3633" w:rsidP="005B3633">
      <w:pPr>
        <w:widowControl/>
        <w:numPr>
          <w:ilvl w:val="1"/>
          <w:numId w:val="40"/>
        </w:numPr>
        <w:suppressAutoHyphens w:val="0"/>
        <w:autoSpaceDN/>
        <w:ind w:left="851" w:hanging="425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innymi przepisami wynikającymi z odpowiednich aktów prawnych, mających odniesienie do przedmiotu zamówienia m.in. dotyczącymi ochrony środowiska, ochrony zabytków, prawa wodnego, ochrony gruntów rolnych i leśnych , dróg.</w:t>
      </w:r>
    </w:p>
    <w:p w14:paraId="0D627A2A" w14:textId="77777777" w:rsidR="005B3633" w:rsidRPr="005B3633" w:rsidRDefault="005B3633" w:rsidP="005B3633">
      <w:pPr>
        <w:widowControl/>
        <w:numPr>
          <w:ilvl w:val="0"/>
          <w:numId w:val="4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Czynności które będzie wykonywał oferent w ramach realizacji przedmiotu zamówienia:</w:t>
      </w:r>
    </w:p>
    <w:p w14:paraId="15F55F16" w14:textId="77777777" w:rsidR="005B3633" w:rsidRPr="005B3633" w:rsidRDefault="005B3633" w:rsidP="005B3633">
      <w:pPr>
        <w:widowControl/>
        <w:suppressAutoHyphens w:val="0"/>
        <w:autoSpaceDN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sporządzenie planu zgodnie z przepisami ustawy z dnia 27 marca 2023 r. o planowaniu i zagospodarowaniu przestrzennym (Dz. U. z 2023 r., poz. 977 ze zm.), a w szczególności przepisami art. 13a, 13b, 13c, 13d, 13e, 13f13g, 13i, 13j, 13k, 13m które weszły w życie w dniu 24 września 2023 r., a także przepisami wykonawczymi do tej ustawy w tym:</w:t>
      </w:r>
    </w:p>
    <w:p w14:paraId="014D8535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3.1.1.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przygotowanie merytoryczne dokumentów formalno-prawnych (wymaganych ustawowo pism, zawiadomień, ogłoszeń i obwieszczeń: o przystąpieniu do opracowania planu, o przystąpieniu do konsultacji społecznych nad projektem planu ogólnego i innych niezbędnych w ramach przedmiotu zamówienia, komunikatów dotyczących opracowania projektu planu, zestawień opinii i uzgodnień oraz do współpracy przy prowadzeniu procedury oraz dokumentacji prac planistycznych,</w:t>
      </w:r>
    </w:p>
    <w:p w14:paraId="15FBF28C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3.1.2.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przygotowanie materiałów i pism w celu uzyskania opinii uzgodnień, w tym Gminnej Komisji Urbanistyczno – Architektonicznej, według rozdzielnika wskazanego przez Wykonawcę,</w:t>
      </w:r>
    </w:p>
    <w:p w14:paraId="7D94AE19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3.1.3.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wprowadzenie ewentualnych zmian wynikających z uzgodnień, powtórzenie procedury w niezbędnym zakresie, jeśli będzie to konieczne, w razie potrzeby przygotowanie treści zażaleń na postanowienia,</w:t>
      </w:r>
    </w:p>
    <w:p w14:paraId="4BE802D9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3.1.4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. zamieszczanie w prasie stosownych ogłoszeń i ponoszenia kosztów publikacji prasowych,</w:t>
      </w:r>
    </w:p>
    <w:p w14:paraId="1EC20BC9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3.1.5.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udziału fizycznego w: spotkaniach otwartych, panelach eksperckich lub warsztatach, spotkaniach plenerowych, spacerach studyjnych, dyżurach projektanta, przeprowadzeniu wywiadów, przygotowania ankiet i geoankiet, zbieraniu uwag, prowadzeniu punktu konsultacyjnego (sposób, miejsce i termin ustalony z Zamawiającym) związanych z rozwiązaniami przyjętymi w projekcie planu w ramach prowadzonych konsultacji społecznych, w tym składania wyjaśnień osobom zainteresowanym (pisemnych lub ustnych),</w:t>
      </w:r>
    </w:p>
    <w:p w14:paraId="154AE667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3.1.6.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przygotowanie (w porozumieniu z Zamawiającym) dokumentów, pism, ankiet, geoankiet, ogłoszeń, obwieszczeń, zawiadomień i innych w procedurze sporządzania planu, określonej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lastRenderedPageBreak/>
        <w:t>w art. 13i ust. 3 wyżej wymienionej ustawy, w tym w konsultacjach społecznych, o których mowa w art.8i, 8j, 8k ustawy,</w:t>
      </w:r>
    </w:p>
    <w:p w14:paraId="7575C2B9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3.1.7.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prezentacja projektu planu i uczestnictwo w konsultacjach społecznych na temat rozwiązań przyjętych w projekcie (udział fizyczny) oraz uczestnictwo w spotkaniach z udziałem radnych (komisjach rady gminy oraz sesjach – udział fizyczny),</w:t>
      </w:r>
    </w:p>
    <w:p w14:paraId="41BC3415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3.1.8.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sporządzenie uzasadnienia planu zgodnie z art. 13h ustawy o planowaniu 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br/>
        <w:t>i zagospodarowaniu przestrzennym</w:t>
      </w:r>
    </w:p>
    <w:p w14:paraId="6C26F3A6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3.1.9.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opracowanie zbiorów danych przestrzennych, o których mowa w art. 67a-67c pkt 1 ustawy o planowaniu i zagospodarowaniu przestrzennym,</w:t>
      </w:r>
    </w:p>
    <w:p w14:paraId="2D5E2855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3.1.10.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przeprowadzenie strategicznej oceny oddziaływania na środowisko, w tym sporządzenie prognozy oddziaływania na środowisko projektu planu zgodnie z przepisami ustawy z dnia 3.10.2008 r. o udostępnianiu informacji o środowisku i jego ochronie, udziale społeczeństwa w ochronie środowiska oraz o ocenach oddziaływania na środowisko,</w:t>
      </w:r>
    </w:p>
    <w:p w14:paraId="103E16A1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3.1.11.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wykonanie opracowania ekofizjograficznego,</w:t>
      </w:r>
    </w:p>
    <w:p w14:paraId="38F6D87C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3.1.12.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wprowadzenie do uchwały zatwierdzającej plan, zmian wynikających z rozstrzygnięć nadzorczych wojewody, ustosunkowania się do tych rozstrzygnięć (ewentualnie powtórzenie procedury w zakresie wymaganym przez wojewodę),</w:t>
      </w:r>
    </w:p>
    <w:p w14:paraId="70DBD726" w14:textId="77777777" w:rsidR="005B3633" w:rsidRPr="005B3633" w:rsidRDefault="005B3633" w:rsidP="005B3633">
      <w:pPr>
        <w:widowControl/>
        <w:suppressAutoHyphens w:val="0"/>
        <w:autoSpaceDN/>
        <w:ind w:left="1020" w:hanging="340"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3.1.13.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 xml:space="preserve"> ustosunkowanie się do skarg wniesionych do wojewody sądu administracyjnego i Naczelnego Sądu Administracyjnego.</w:t>
      </w:r>
    </w:p>
    <w:p w14:paraId="3CD9BF4C" w14:textId="77777777" w:rsidR="005B3633" w:rsidRPr="005B3633" w:rsidRDefault="005B3633" w:rsidP="005B3633">
      <w:pPr>
        <w:widowControl/>
        <w:suppressAutoHyphens w:val="0"/>
        <w:autoSpaceDN/>
        <w:jc w:val="both"/>
        <w:textAlignment w:val="auto"/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</w:pP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3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.</w:t>
      </w:r>
      <w:r w:rsidRPr="005B3633">
        <w:rPr>
          <w:rFonts w:ascii="Cambria" w:eastAsia="Calibri" w:hAnsi="Cambria" w:cs="Times New Roman"/>
          <w:b/>
          <w:bCs/>
          <w:noProof/>
          <w:kern w:val="2"/>
          <w:sz w:val="22"/>
          <w:szCs w:val="22"/>
          <w:lang w:val="pl-PL" w:eastAsia="en-US" w:bidi="ar-SA"/>
          <w14:ligatures w14:val="standardContextual"/>
        </w:rPr>
        <w:t>2</w:t>
      </w:r>
      <w:r w:rsidRPr="005B3633">
        <w:rPr>
          <w:rFonts w:ascii="Cambria" w:eastAsia="Calibri" w:hAnsi="Cambria" w:cs="Times New Roman"/>
          <w:noProof/>
          <w:kern w:val="2"/>
          <w:sz w:val="22"/>
          <w:szCs w:val="22"/>
          <w:lang w:val="pl-PL" w:eastAsia="en-US" w:bidi="ar-SA"/>
          <w14:ligatures w14:val="standardContextual"/>
        </w:rPr>
        <w:t>.   zgodnie z poszczególnymi etapami wskazanymi w Harmonogramie prac projektowych</w:t>
      </w:r>
    </w:p>
    <w:p w14:paraId="568C49C7" w14:textId="77777777" w:rsidR="0030456B" w:rsidRPr="0030456B" w:rsidRDefault="0030456B" w:rsidP="0030456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ahoma" w:eastAsia="Calibri" w:hAnsi="Tahoma"/>
          <w:b/>
          <w:kern w:val="0"/>
          <w:lang w:val="pl-PL" w:eastAsia="en-US" w:bidi="ar-SA"/>
        </w:rPr>
      </w:pPr>
    </w:p>
    <w:sectPr w:rsidR="0030456B" w:rsidRPr="0030456B" w:rsidSect="0091084C">
      <w:headerReference w:type="default" r:id="rId7"/>
      <w:footerReference w:type="default" r:id="rId8"/>
      <w:pgSz w:w="11905" w:h="16837"/>
      <w:pgMar w:top="1134" w:right="117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D3855" w14:textId="77777777" w:rsidR="002E5819" w:rsidRDefault="002E5819">
      <w:r>
        <w:separator/>
      </w:r>
    </w:p>
  </w:endnote>
  <w:endnote w:type="continuationSeparator" w:id="0">
    <w:p w14:paraId="2BFCFDA3" w14:textId="77777777" w:rsidR="002E5819" w:rsidRDefault="002E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51E81" w14:textId="77777777" w:rsidR="003B4432" w:rsidRDefault="003B4432" w:rsidP="00A8484D">
    <w:pPr>
      <w:pStyle w:val="Stopka"/>
    </w:pPr>
  </w:p>
  <w:p w14:paraId="37D01E4B" w14:textId="77777777" w:rsidR="003B4432" w:rsidRDefault="003B4432" w:rsidP="00A84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3DF1B" w14:textId="77777777" w:rsidR="002E5819" w:rsidRDefault="002E5819">
      <w:r>
        <w:rPr>
          <w:color w:val="000000"/>
        </w:rPr>
        <w:separator/>
      </w:r>
    </w:p>
  </w:footnote>
  <w:footnote w:type="continuationSeparator" w:id="0">
    <w:p w14:paraId="218DC22F" w14:textId="77777777" w:rsidR="002E5819" w:rsidRDefault="002E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3B4432" w14:paraId="37007B90" w14:textId="77777777" w:rsidTr="003B4432">
      <w:tc>
        <w:tcPr>
          <w:tcW w:w="9064" w:type="dxa"/>
        </w:tcPr>
        <w:p w14:paraId="5F66221F" w14:textId="77777777" w:rsidR="003B4432" w:rsidRPr="0049164A" w:rsidRDefault="003B4432" w:rsidP="003B443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C37E2B0" w14:textId="05C05AC0" w:rsidR="003B4432" w:rsidRPr="0091084C" w:rsidRDefault="003B4432" w:rsidP="0091084C">
          <w:pPr>
            <w:pStyle w:val="Nagwek"/>
            <w:jc w:val="center"/>
            <w:rPr>
              <w:rFonts w:ascii="Cambria" w:hAnsi="Cambria"/>
              <w:sz w:val="18"/>
              <w:szCs w:val="18"/>
            </w:rPr>
          </w:pPr>
          <w:r w:rsidRPr="0091084C">
            <w:rPr>
              <w:rFonts w:ascii="Cambria" w:hAnsi="Cambria"/>
              <w:sz w:val="18"/>
              <w:szCs w:val="18"/>
            </w:rPr>
            <w:t xml:space="preserve"> „</w:t>
          </w:r>
          <w:r w:rsidR="005B3633" w:rsidRPr="005B3633">
            <w:rPr>
              <w:rFonts w:ascii="Cambria" w:hAnsi="Cambria"/>
              <w:sz w:val="18"/>
              <w:szCs w:val="18"/>
            </w:rPr>
            <w:t>Opracowanie Planu Ogólnego Gminy Węgorzyno</w:t>
          </w:r>
          <w:r w:rsidR="00307471" w:rsidRPr="00307471">
            <w:rPr>
              <w:rFonts w:ascii="Cambria" w:hAnsi="Cambria"/>
              <w:sz w:val="18"/>
              <w:szCs w:val="18"/>
            </w:rPr>
            <w:t>.</w:t>
          </w:r>
          <w:r w:rsidRPr="0091084C">
            <w:rPr>
              <w:rFonts w:ascii="Cambria" w:hAnsi="Cambria"/>
              <w:sz w:val="18"/>
              <w:szCs w:val="18"/>
            </w:rPr>
            <w:t>”</w:t>
          </w:r>
        </w:p>
      </w:tc>
    </w:tr>
  </w:tbl>
  <w:p w14:paraId="28912672" w14:textId="77777777" w:rsidR="003B4432" w:rsidRPr="00590CA3" w:rsidRDefault="003B4432" w:rsidP="00A8484D">
    <w:pPr>
      <w:pStyle w:val="Nagwek"/>
    </w:pPr>
  </w:p>
  <w:p w14:paraId="637CA2CD" w14:textId="77777777" w:rsidR="003B4432" w:rsidRPr="00A8484D" w:rsidRDefault="003B4432" w:rsidP="00A8484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2418A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62A00"/>
    <w:multiLevelType w:val="hybridMultilevel"/>
    <w:tmpl w:val="38CA0CDA"/>
    <w:lvl w:ilvl="0" w:tplc="8C181C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BFD"/>
    <w:multiLevelType w:val="multilevel"/>
    <w:tmpl w:val="0EBA3EB4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481C0D"/>
    <w:multiLevelType w:val="hybridMultilevel"/>
    <w:tmpl w:val="55AE4870"/>
    <w:lvl w:ilvl="0" w:tplc="4888E8FE">
      <w:start w:val="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10"/>
    <w:multiLevelType w:val="hybridMultilevel"/>
    <w:tmpl w:val="7F16E6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8"/>
        </w:tabs>
        <w:ind w:left="2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8"/>
        </w:tabs>
        <w:ind w:left="3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8"/>
        </w:tabs>
        <w:ind w:left="4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8"/>
        </w:tabs>
        <w:ind w:left="5478" w:hanging="360"/>
      </w:pPr>
    </w:lvl>
  </w:abstractNum>
  <w:abstractNum w:abstractNumId="5" w15:restartNumberingAfterBreak="0">
    <w:nsid w:val="1F9A219B"/>
    <w:multiLevelType w:val="multilevel"/>
    <w:tmpl w:val="CF92B12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271860"/>
    <w:multiLevelType w:val="hybridMultilevel"/>
    <w:tmpl w:val="B134B5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653C4D"/>
    <w:multiLevelType w:val="hybridMultilevel"/>
    <w:tmpl w:val="184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518"/>
    <w:multiLevelType w:val="hybridMultilevel"/>
    <w:tmpl w:val="36445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0139"/>
    <w:multiLevelType w:val="hybridMultilevel"/>
    <w:tmpl w:val="5C50E4B2"/>
    <w:lvl w:ilvl="0" w:tplc="0C28A8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CF2AAF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22E88930">
      <w:start w:val="1"/>
      <w:numFmt w:val="lowerLetter"/>
      <w:pStyle w:val="Normalny-punkty"/>
      <w:lvlText w:val="%3."/>
      <w:lvlJc w:val="left"/>
      <w:pPr>
        <w:tabs>
          <w:tab w:val="num" w:pos="576"/>
        </w:tabs>
        <w:ind w:left="576" w:hanging="396"/>
      </w:pPr>
      <w:rPr>
        <w:rFonts w:hint="default"/>
        <w:b w:val="0"/>
      </w:rPr>
    </w:lvl>
    <w:lvl w:ilvl="3" w:tplc="9B604744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8056D35C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7CD9D4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451800BC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65D63F34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415CE99A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CD63851"/>
    <w:multiLevelType w:val="multilevel"/>
    <w:tmpl w:val="7E6A4254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C43FA9"/>
    <w:multiLevelType w:val="multilevel"/>
    <w:tmpl w:val="08B0B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F563CA6"/>
    <w:multiLevelType w:val="hybridMultilevel"/>
    <w:tmpl w:val="BE30A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16D16"/>
    <w:multiLevelType w:val="hybridMultilevel"/>
    <w:tmpl w:val="7C0A17B8"/>
    <w:lvl w:ilvl="0" w:tplc="4530BC7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1B17EED"/>
    <w:multiLevelType w:val="multilevel"/>
    <w:tmpl w:val="2D404B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mbria" w:eastAsiaTheme="minorHAnsi" w:hAnsi="Cambria" w:cstheme="minorBidi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68770A"/>
    <w:multiLevelType w:val="hybridMultilevel"/>
    <w:tmpl w:val="8F5AED40"/>
    <w:lvl w:ilvl="0" w:tplc="3314F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232"/>
    <w:multiLevelType w:val="hybridMultilevel"/>
    <w:tmpl w:val="B4FCD42A"/>
    <w:lvl w:ilvl="0" w:tplc="FDA2FA4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B26F10"/>
    <w:multiLevelType w:val="hybridMultilevel"/>
    <w:tmpl w:val="0A42E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D2053"/>
    <w:multiLevelType w:val="multilevel"/>
    <w:tmpl w:val="6D247AC4"/>
    <w:lvl w:ilvl="0">
      <w:start w:val="10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F47953"/>
    <w:multiLevelType w:val="hybridMultilevel"/>
    <w:tmpl w:val="628615CC"/>
    <w:lvl w:ilvl="0" w:tplc="0415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0" w15:restartNumberingAfterBreak="0">
    <w:nsid w:val="420E4DA0"/>
    <w:multiLevelType w:val="multilevel"/>
    <w:tmpl w:val="5B3A5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3915AFB"/>
    <w:multiLevelType w:val="hybridMultilevel"/>
    <w:tmpl w:val="903247C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1BC1"/>
    <w:multiLevelType w:val="hybridMultilevel"/>
    <w:tmpl w:val="A5D2FE02"/>
    <w:lvl w:ilvl="0" w:tplc="6638FD14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AF2EED"/>
    <w:multiLevelType w:val="hybridMultilevel"/>
    <w:tmpl w:val="E7DC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5A6"/>
    <w:multiLevelType w:val="hybridMultilevel"/>
    <w:tmpl w:val="1FAA32D8"/>
    <w:lvl w:ilvl="0" w:tplc="D9A4F33A">
      <w:start w:val="1"/>
      <w:numFmt w:val="lowerLetter"/>
      <w:lvlText w:val="%1)"/>
      <w:lvlJc w:val="left"/>
      <w:pPr>
        <w:ind w:left="22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4975AA3"/>
    <w:multiLevelType w:val="multilevel"/>
    <w:tmpl w:val="D66C870C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551C4E9E"/>
    <w:multiLevelType w:val="hybridMultilevel"/>
    <w:tmpl w:val="8918E8D4"/>
    <w:lvl w:ilvl="0" w:tplc="AB28BA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0F70"/>
    <w:multiLevelType w:val="multilevel"/>
    <w:tmpl w:val="BD469F32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5A390C1D"/>
    <w:multiLevelType w:val="hybridMultilevel"/>
    <w:tmpl w:val="46303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8252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B25F7"/>
    <w:multiLevelType w:val="hybridMultilevel"/>
    <w:tmpl w:val="0774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A088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C953AC"/>
    <w:multiLevelType w:val="multilevel"/>
    <w:tmpl w:val="803C1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9E964B0"/>
    <w:multiLevelType w:val="hybridMultilevel"/>
    <w:tmpl w:val="0A826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A3352"/>
    <w:multiLevelType w:val="multilevel"/>
    <w:tmpl w:val="36581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C0A16F4"/>
    <w:multiLevelType w:val="hybridMultilevel"/>
    <w:tmpl w:val="31FAA4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0B6B"/>
    <w:multiLevelType w:val="hybridMultilevel"/>
    <w:tmpl w:val="6BD4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5517B"/>
    <w:multiLevelType w:val="multilevel"/>
    <w:tmpl w:val="496AC1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71B1DC9"/>
    <w:multiLevelType w:val="multilevel"/>
    <w:tmpl w:val="B188628A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778D2F1A"/>
    <w:multiLevelType w:val="hybridMultilevel"/>
    <w:tmpl w:val="7E32C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5107"/>
    <w:multiLevelType w:val="multilevel"/>
    <w:tmpl w:val="796C96B8"/>
    <w:lvl w:ilvl="0">
      <w:start w:val="8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7672270">
    <w:abstractNumId w:val="36"/>
  </w:num>
  <w:num w:numId="2" w16cid:durableId="1240093007">
    <w:abstractNumId w:val="10"/>
  </w:num>
  <w:num w:numId="3" w16cid:durableId="2037463022">
    <w:abstractNumId w:val="2"/>
  </w:num>
  <w:num w:numId="4" w16cid:durableId="642201393">
    <w:abstractNumId w:val="37"/>
  </w:num>
  <w:num w:numId="5" w16cid:durableId="1502618497">
    <w:abstractNumId w:val="27"/>
  </w:num>
  <w:num w:numId="6" w16cid:durableId="1082068307">
    <w:abstractNumId w:val="25"/>
  </w:num>
  <w:num w:numId="7" w16cid:durableId="1640066996">
    <w:abstractNumId w:val="5"/>
  </w:num>
  <w:num w:numId="8" w16cid:durableId="1137140676">
    <w:abstractNumId w:val="39"/>
  </w:num>
  <w:num w:numId="9" w16cid:durableId="1432504579">
    <w:abstractNumId w:val="18"/>
  </w:num>
  <w:num w:numId="10" w16cid:durableId="634216963">
    <w:abstractNumId w:val="24"/>
  </w:num>
  <w:num w:numId="11" w16cid:durableId="1341851611">
    <w:abstractNumId w:val="7"/>
  </w:num>
  <w:num w:numId="12" w16cid:durableId="1877690565">
    <w:abstractNumId w:val="34"/>
  </w:num>
  <w:num w:numId="13" w16cid:durableId="451677764">
    <w:abstractNumId w:val="1"/>
  </w:num>
  <w:num w:numId="14" w16cid:durableId="840703857">
    <w:abstractNumId w:val="22"/>
  </w:num>
  <w:num w:numId="15" w16cid:durableId="169762536">
    <w:abstractNumId w:val="26"/>
  </w:num>
  <w:num w:numId="16" w16cid:durableId="1517814719">
    <w:abstractNumId w:val="9"/>
  </w:num>
  <w:num w:numId="17" w16cid:durableId="242301974">
    <w:abstractNumId w:val="8"/>
  </w:num>
  <w:num w:numId="18" w16cid:durableId="1080978725">
    <w:abstractNumId w:val="13"/>
  </w:num>
  <w:num w:numId="19" w16cid:durableId="2142071819">
    <w:abstractNumId w:val="28"/>
  </w:num>
  <w:num w:numId="20" w16cid:durableId="31806089">
    <w:abstractNumId w:val="19"/>
  </w:num>
  <w:num w:numId="21" w16cid:durableId="1188255420">
    <w:abstractNumId w:val="3"/>
  </w:num>
  <w:num w:numId="22" w16cid:durableId="662898174">
    <w:abstractNumId w:val="21"/>
  </w:num>
  <w:num w:numId="23" w16cid:durableId="1162045797">
    <w:abstractNumId w:val="16"/>
  </w:num>
  <w:num w:numId="24" w16cid:durableId="521746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164839">
    <w:abstractNumId w:val="4"/>
  </w:num>
  <w:num w:numId="26" w16cid:durableId="1486119291">
    <w:abstractNumId w:val="35"/>
  </w:num>
  <w:num w:numId="27" w16cid:durableId="1999460308">
    <w:abstractNumId w:val="12"/>
  </w:num>
  <w:num w:numId="28" w16cid:durableId="2112820767">
    <w:abstractNumId w:val="23"/>
  </w:num>
  <w:num w:numId="29" w16cid:durableId="10194307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3318538">
    <w:abstractNumId w:val="6"/>
  </w:num>
  <w:num w:numId="31" w16cid:durableId="1452819489">
    <w:abstractNumId w:val="32"/>
  </w:num>
  <w:num w:numId="32" w16cid:durableId="20325395">
    <w:abstractNumId w:val="15"/>
  </w:num>
  <w:num w:numId="33" w16cid:durableId="1490748887">
    <w:abstractNumId w:val="17"/>
  </w:num>
  <w:num w:numId="34" w16cid:durableId="374234814">
    <w:abstractNumId w:val="38"/>
  </w:num>
  <w:num w:numId="35" w16cid:durableId="2049912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83393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398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4548394">
    <w:abstractNumId w:val="30"/>
  </w:num>
  <w:num w:numId="39" w16cid:durableId="906036872">
    <w:abstractNumId w:val="0"/>
  </w:num>
  <w:num w:numId="40" w16cid:durableId="770705753">
    <w:abstractNumId w:val="11"/>
  </w:num>
  <w:num w:numId="41" w16cid:durableId="11643227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8"/>
    <w:rsid w:val="0001382F"/>
    <w:rsid w:val="00015793"/>
    <w:rsid w:val="00044DAF"/>
    <w:rsid w:val="00081C19"/>
    <w:rsid w:val="000A4D1C"/>
    <w:rsid w:val="000D6267"/>
    <w:rsid w:val="000E6242"/>
    <w:rsid w:val="000F3E25"/>
    <w:rsid w:val="00114FCB"/>
    <w:rsid w:val="0011699C"/>
    <w:rsid w:val="001342DF"/>
    <w:rsid w:val="001616CA"/>
    <w:rsid w:val="00223BDA"/>
    <w:rsid w:val="0022739D"/>
    <w:rsid w:val="00237C2C"/>
    <w:rsid w:val="00240734"/>
    <w:rsid w:val="00290CDA"/>
    <w:rsid w:val="002E5819"/>
    <w:rsid w:val="0030456B"/>
    <w:rsid w:val="00307471"/>
    <w:rsid w:val="003116C5"/>
    <w:rsid w:val="00323C83"/>
    <w:rsid w:val="00351CA3"/>
    <w:rsid w:val="00365E8B"/>
    <w:rsid w:val="00381542"/>
    <w:rsid w:val="003B4432"/>
    <w:rsid w:val="004A62CE"/>
    <w:rsid w:val="004B13F3"/>
    <w:rsid w:val="004E51F9"/>
    <w:rsid w:val="00535CA6"/>
    <w:rsid w:val="00545F7B"/>
    <w:rsid w:val="005824BA"/>
    <w:rsid w:val="005973D6"/>
    <w:rsid w:val="005A5CDF"/>
    <w:rsid w:val="005B3633"/>
    <w:rsid w:val="006232BD"/>
    <w:rsid w:val="00705A99"/>
    <w:rsid w:val="007224D0"/>
    <w:rsid w:val="0075671A"/>
    <w:rsid w:val="007A38F8"/>
    <w:rsid w:val="007B3984"/>
    <w:rsid w:val="00832040"/>
    <w:rsid w:val="00870D93"/>
    <w:rsid w:val="00893703"/>
    <w:rsid w:val="008E05AA"/>
    <w:rsid w:val="008E1E2B"/>
    <w:rsid w:val="008F543F"/>
    <w:rsid w:val="008F7253"/>
    <w:rsid w:val="0091084C"/>
    <w:rsid w:val="00923C4B"/>
    <w:rsid w:val="009353A8"/>
    <w:rsid w:val="00A35CCF"/>
    <w:rsid w:val="00A8462C"/>
    <w:rsid w:val="00A8484D"/>
    <w:rsid w:val="00B01B06"/>
    <w:rsid w:val="00B05F6C"/>
    <w:rsid w:val="00B16F6E"/>
    <w:rsid w:val="00B21F07"/>
    <w:rsid w:val="00B55D41"/>
    <w:rsid w:val="00B94460"/>
    <w:rsid w:val="00C34F7D"/>
    <w:rsid w:val="00CA5CD9"/>
    <w:rsid w:val="00CC4B4F"/>
    <w:rsid w:val="00CE5B96"/>
    <w:rsid w:val="00D155F5"/>
    <w:rsid w:val="00D34052"/>
    <w:rsid w:val="00DC0DD6"/>
    <w:rsid w:val="00E25E9E"/>
    <w:rsid w:val="00E62FE8"/>
    <w:rsid w:val="00EC41BB"/>
    <w:rsid w:val="00EF0404"/>
    <w:rsid w:val="00F01D69"/>
    <w:rsid w:val="00F667E3"/>
    <w:rsid w:val="00F923BC"/>
    <w:rsid w:val="00FC1CBB"/>
    <w:rsid w:val="00FE1448"/>
    <w:rsid w:val="00FF5D60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A117"/>
  <w15:docId w15:val="{56DF92D9-FC01-4E10-9501-34C849C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E8"/>
  </w:style>
  <w:style w:type="paragraph" w:styleId="Nagwek1">
    <w:name w:val="heading 1"/>
    <w:basedOn w:val="Heading"/>
    <w:next w:val="Textbody"/>
    <w:uiPriority w:val="9"/>
    <w:qFormat/>
    <w:rsid w:val="006232BD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rsid w:val="006232BD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2BD"/>
  </w:style>
  <w:style w:type="paragraph" w:customStyle="1" w:styleId="Heading">
    <w:name w:val="Heading"/>
    <w:basedOn w:val="Standard"/>
    <w:next w:val="Textbody"/>
    <w:rsid w:val="006232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32BD"/>
    <w:pPr>
      <w:spacing w:after="120"/>
    </w:pPr>
  </w:style>
  <w:style w:type="paragraph" w:styleId="Lista">
    <w:name w:val="List"/>
    <w:basedOn w:val="Textbody"/>
    <w:rsid w:val="006232BD"/>
  </w:style>
  <w:style w:type="paragraph" w:styleId="Legenda">
    <w:name w:val="caption"/>
    <w:basedOn w:val="Standard"/>
    <w:rsid w:val="006232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32BD"/>
    <w:pPr>
      <w:suppressLineNumbers/>
    </w:pPr>
  </w:style>
  <w:style w:type="paragraph" w:customStyle="1" w:styleId="TableContents">
    <w:name w:val="Table Contents"/>
    <w:basedOn w:val="Standard"/>
    <w:rsid w:val="006232BD"/>
    <w:pPr>
      <w:suppressLineNumbers/>
    </w:pPr>
  </w:style>
  <w:style w:type="paragraph" w:customStyle="1" w:styleId="TableHeading">
    <w:name w:val="Table Heading"/>
    <w:basedOn w:val="TableContents"/>
    <w:rsid w:val="006232BD"/>
    <w:pPr>
      <w:jc w:val="center"/>
    </w:pPr>
    <w:rPr>
      <w:b/>
      <w:bCs/>
    </w:rPr>
  </w:style>
  <w:style w:type="character" w:customStyle="1" w:styleId="NumberingSymbols">
    <w:name w:val="Numbering Symbols"/>
    <w:rsid w:val="006232BD"/>
    <w:rPr>
      <w:b w:val="0"/>
      <w:bCs w:val="0"/>
    </w:rPr>
  </w:style>
  <w:style w:type="character" w:customStyle="1" w:styleId="BulletSymbols">
    <w:name w:val="Bullet Symbols"/>
    <w:rsid w:val="006232BD"/>
    <w:rPr>
      <w:rFonts w:ascii="OpenSymbol" w:eastAsia="OpenSymbol" w:hAnsi="OpenSymbol" w:cs="OpenSymbol"/>
    </w:rPr>
  </w:style>
  <w:style w:type="character" w:customStyle="1" w:styleId="Internetlink">
    <w:name w:val="Internet link"/>
    <w:rsid w:val="006232B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F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F"/>
    <w:rPr>
      <w:rFonts w:cs="Times New Roman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4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484D"/>
  </w:style>
  <w:style w:type="paragraph" w:styleId="Stopka">
    <w:name w:val="footer"/>
    <w:basedOn w:val="Normalny"/>
    <w:link w:val="StopkaZnak"/>
    <w:uiPriority w:val="99"/>
    <w:unhideWhenUsed/>
    <w:rsid w:val="00A84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4D"/>
  </w:style>
  <w:style w:type="paragraph" w:styleId="Tekstpodstawowy">
    <w:name w:val="Body Text"/>
    <w:aliases w:val="Brodtekst Tegn Tegn"/>
    <w:basedOn w:val="Normalny"/>
    <w:link w:val="TekstpodstawowyZnak"/>
    <w:rsid w:val="00A8484D"/>
    <w:pPr>
      <w:widowControl/>
      <w:suppressAutoHyphens w:val="0"/>
      <w:overflowPunct w:val="0"/>
      <w:autoSpaceDE w:val="0"/>
      <w:adjustRightInd w:val="0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aliases w:val="Brodtekst Tegn Tegn Znak"/>
    <w:basedOn w:val="Domylnaczcionkaakapitu"/>
    <w:link w:val="Tekstpodstawowy"/>
    <w:rsid w:val="00A8484D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A8484D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84D"/>
    <w:rPr>
      <w:rFonts w:eastAsia="Times New Roman" w:cs="Times New Roman"/>
      <w:kern w:val="0"/>
      <w:szCs w:val="20"/>
      <w:lang w:val="pl-PL" w:eastAsia="pl-PL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"/>
    <w:basedOn w:val="Normalny"/>
    <w:uiPriority w:val="34"/>
    <w:qFormat/>
    <w:rsid w:val="008E05AA"/>
    <w:pPr>
      <w:widowControl/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 w:cs="Times New Roman"/>
      <w:kern w:val="0"/>
      <w:sz w:val="20"/>
      <w:szCs w:val="20"/>
      <w:lang w:val="pl-PL" w:eastAsia="zh-CN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0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0CDA"/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paragraph" w:customStyle="1" w:styleId="Normalny-punkty">
    <w:name w:val="Normalny - punkty"/>
    <w:basedOn w:val="Normalny"/>
    <w:rsid w:val="00B01B06"/>
    <w:pPr>
      <w:widowControl/>
      <w:numPr>
        <w:ilvl w:val="2"/>
        <w:numId w:val="16"/>
      </w:numP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table" w:customStyle="1" w:styleId="TableNormal">
    <w:name w:val="Table Normal"/>
    <w:uiPriority w:val="2"/>
    <w:semiHidden/>
    <w:unhideWhenUsed/>
    <w:qFormat/>
    <w:rsid w:val="000A4D1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4D1C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l-PL" w:eastAsia="en-US" w:bidi="ar-SA"/>
    </w:rPr>
  </w:style>
  <w:style w:type="paragraph" w:customStyle="1" w:styleId="Default">
    <w:name w:val="Default"/>
    <w:rsid w:val="0030456B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olszewski</dc:creator>
  <cp:lastModifiedBy>Zastępca Burmistrza</cp:lastModifiedBy>
  <cp:revision>18</cp:revision>
  <cp:lastPrinted>2021-03-24T08:13:00Z</cp:lastPrinted>
  <dcterms:created xsi:type="dcterms:W3CDTF">2021-10-28T13:03:00Z</dcterms:created>
  <dcterms:modified xsi:type="dcterms:W3CDTF">2024-07-22T12:47:00Z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