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E" w:rsidRPr="00127A6C" w:rsidRDefault="004968DE" w:rsidP="00127A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127A6C">
        <w:rPr>
          <w:rFonts w:ascii="Arial" w:hAnsi="Arial" w:cs="Arial"/>
        </w:rPr>
        <w:t>Załącznik nr 3 do SWZ</w:t>
      </w:r>
    </w:p>
    <w:p w:rsidR="004968DE" w:rsidRPr="00127A6C" w:rsidRDefault="004968DE" w:rsidP="00127A6C">
      <w:pPr>
        <w:spacing w:after="0" w:line="240" w:lineRule="auto"/>
        <w:rPr>
          <w:rFonts w:ascii="Arial" w:hAnsi="Arial" w:cs="Arial"/>
          <w:b/>
          <w:bCs/>
        </w:rPr>
      </w:pPr>
    </w:p>
    <w:p w:rsidR="004968DE" w:rsidRPr="00127A6C" w:rsidRDefault="004968DE" w:rsidP="0077490D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127A6C">
        <w:rPr>
          <w:rFonts w:ascii="Arial" w:hAnsi="Arial" w:cs="Arial"/>
          <w:b/>
          <w:bCs/>
        </w:rPr>
        <w:t>OPIS PRZEDMIOTU ZAMÓWIENIA</w:t>
      </w:r>
    </w:p>
    <w:p w:rsidR="004968DE" w:rsidRPr="00127A6C" w:rsidRDefault="004968DE" w:rsidP="007D3ED3">
      <w:pPr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127A6C">
        <w:rPr>
          <w:rFonts w:ascii="Arial" w:hAnsi="Arial" w:cs="Arial"/>
          <w:b/>
          <w:bCs/>
          <w:lang w:eastAsia="ar-SA"/>
        </w:rPr>
        <w:t>Część 3 – Dostawa endoskopów medycznych</w:t>
      </w:r>
    </w:p>
    <w:p w:rsidR="004968DE" w:rsidRPr="00127A6C" w:rsidRDefault="004968DE" w:rsidP="0076586C">
      <w:pPr>
        <w:numPr>
          <w:ilvl w:val="3"/>
          <w:numId w:val="21"/>
        </w:numPr>
        <w:tabs>
          <w:tab w:val="clear" w:pos="2946"/>
        </w:tabs>
        <w:spacing w:after="0" w:line="240" w:lineRule="auto"/>
        <w:ind w:left="1077" w:hanging="357"/>
        <w:jc w:val="both"/>
        <w:rPr>
          <w:rFonts w:ascii="Arial" w:hAnsi="Arial" w:cs="Arial"/>
          <w:b/>
          <w:bCs/>
        </w:rPr>
      </w:pPr>
      <w:r w:rsidRPr="00127A6C">
        <w:rPr>
          <w:rFonts w:ascii="Arial" w:hAnsi="Arial" w:cs="Arial"/>
          <w:b/>
          <w:bCs/>
        </w:rPr>
        <w:t xml:space="preserve">videogastroskop zabiegowe HD </w:t>
      </w:r>
      <w:r>
        <w:rPr>
          <w:rFonts w:ascii="Arial" w:hAnsi="Arial" w:cs="Arial"/>
          <w:b/>
          <w:bCs/>
        </w:rPr>
        <w:t>– szt. 1,</w:t>
      </w:r>
    </w:p>
    <w:p w:rsidR="004968DE" w:rsidRPr="00127A6C" w:rsidRDefault="004968DE" w:rsidP="0076586C">
      <w:pPr>
        <w:numPr>
          <w:ilvl w:val="3"/>
          <w:numId w:val="21"/>
        </w:numPr>
        <w:tabs>
          <w:tab w:val="clear" w:pos="2946"/>
        </w:tabs>
        <w:spacing w:after="0" w:line="240" w:lineRule="auto"/>
        <w:ind w:left="107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videokolonoskop zabiegowy HD – szt. 1,</w:t>
      </w:r>
    </w:p>
    <w:p w:rsidR="004968DE" w:rsidRPr="00127A6C" w:rsidRDefault="004968DE" w:rsidP="0076586C">
      <w:pPr>
        <w:numPr>
          <w:ilvl w:val="3"/>
          <w:numId w:val="21"/>
        </w:numPr>
        <w:tabs>
          <w:tab w:val="clear" w:pos="2946"/>
        </w:tabs>
        <w:spacing w:after="0" w:line="240" w:lineRule="auto"/>
        <w:ind w:left="107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bronchoskop intubacyjny LED </w:t>
      </w:r>
      <w:r w:rsidRPr="00127A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szt. 1,</w:t>
      </w:r>
    </w:p>
    <w:p w:rsidR="004968DE" w:rsidRPr="00127A6C" w:rsidRDefault="004968DE" w:rsidP="0076586C">
      <w:pPr>
        <w:numPr>
          <w:ilvl w:val="3"/>
          <w:numId w:val="21"/>
        </w:numPr>
        <w:tabs>
          <w:tab w:val="clear" w:pos="2946"/>
        </w:tabs>
        <w:spacing w:after="0" w:line="240" w:lineRule="auto"/>
        <w:ind w:left="1077" w:hanging="357"/>
        <w:jc w:val="both"/>
        <w:rPr>
          <w:rFonts w:ascii="Arial" w:hAnsi="Arial" w:cs="Arial"/>
          <w:b/>
          <w:bCs/>
        </w:rPr>
      </w:pPr>
      <w:r w:rsidRPr="00127A6C">
        <w:rPr>
          <w:rFonts w:ascii="Arial" w:hAnsi="Arial" w:cs="Arial"/>
          <w:b/>
          <w:bCs/>
        </w:rPr>
        <w:t>szafa do prze</w:t>
      </w:r>
      <w:r>
        <w:rPr>
          <w:rFonts w:ascii="Arial" w:hAnsi="Arial" w:cs="Arial"/>
          <w:b/>
          <w:bCs/>
        </w:rPr>
        <w:t>chowywania endoskopów giętkich – szt. 1,</w:t>
      </w:r>
    </w:p>
    <w:p w:rsidR="004968DE" w:rsidRPr="00127A6C" w:rsidRDefault="004968DE" w:rsidP="0076586C">
      <w:pPr>
        <w:numPr>
          <w:ilvl w:val="3"/>
          <w:numId w:val="21"/>
        </w:numPr>
        <w:tabs>
          <w:tab w:val="clear" w:pos="2946"/>
        </w:tabs>
        <w:spacing w:after="0" w:line="240" w:lineRule="auto"/>
        <w:ind w:left="107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videolaryngoskop – szt. 1,</w:t>
      </w:r>
    </w:p>
    <w:p w:rsidR="004968DE" w:rsidRPr="00127A6C" w:rsidRDefault="004968DE" w:rsidP="0076586C">
      <w:pPr>
        <w:numPr>
          <w:ilvl w:val="3"/>
          <w:numId w:val="21"/>
        </w:numPr>
        <w:tabs>
          <w:tab w:val="clear" w:pos="2946"/>
        </w:tabs>
        <w:spacing w:after="0" w:line="240" w:lineRule="auto"/>
        <w:ind w:left="1077" w:hanging="357"/>
        <w:jc w:val="both"/>
        <w:rPr>
          <w:rFonts w:ascii="Arial" w:hAnsi="Arial" w:cs="Arial"/>
          <w:b/>
          <w:bCs/>
        </w:rPr>
      </w:pPr>
      <w:r w:rsidRPr="00127A6C">
        <w:rPr>
          <w:rFonts w:ascii="Arial" w:hAnsi="Arial" w:cs="Arial"/>
          <w:b/>
          <w:bCs/>
        </w:rPr>
        <w:t>myjnia au</w:t>
      </w:r>
      <w:r>
        <w:rPr>
          <w:rFonts w:ascii="Arial" w:hAnsi="Arial" w:cs="Arial"/>
          <w:b/>
          <w:bCs/>
        </w:rPr>
        <w:t>tomatyczna do videogastroskopów – szt. 1,</w:t>
      </w:r>
    </w:p>
    <w:p w:rsidR="004968DE" w:rsidRPr="00127A6C" w:rsidRDefault="004968DE" w:rsidP="0076586C">
      <w:pPr>
        <w:numPr>
          <w:ilvl w:val="3"/>
          <w:numId w:val="21"/>
        </w:numPr>
        <w:tabs>
          <w:tab w:val="clear" w:pos="2946"/>
        </w:tabs>
        <w:spacing w:after="0" w:line="240" w:lineRule="auto"/>
        <w:ind w:left="107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myjnia do videokolonoskopów – szt. 1.</w:t>
      </w:r>
    </w:p>
    <w:p w:rsidR="004968DE" w:rsidRPr="00127A6C" w:rsidRDefault="004968DE" w:rsidP="007D3ED3">
      <w:pPr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4968DE" w:rsidRPr="00127A6C" w:rsidRDefault="004968DE" w:rsidP="00AC1BF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Przedmiotem zamówienia jest dostawa, instalacja oraz uruchomienie </w:t>
      </w:r>
      <w:r w:rsidRPr="00127A6C">
        <w:rPr>
          <w:rFonts w:ascii="Arial" w:hAnsi="Arial" w:cs="Arial"/>
          <w:b/>
          <w:bCs/>
          <w:lang w:eastAsia="ar-SA"/>
        </w:rPr>
        <w:t>endoskopów medycznych</w:t>
      </w:r>
      <w:r w:rsidRPr="00127A6C">
        <w:rPr>
          <w:rFonts w:ascii="Arial" w:hAnsi="Arial" w:cs="Arial"/>
        </w:rPr>
        <w:t xml:space="preserve"> wraz z przeszkoleniem personelu w</w:t>
      </w:r>
      <w:r>
        <w:rPr>
          <w:rFonts w:ascii="Arial" w:hAnsi="Arial" w:cs="Arial"/>
        </w:rPr>
        <w:t>skazanego przez Zamawiającego w </w:t>
      </w:r>
      <w:r w:rsidRPr="00127A6C">
        <w:rPr>
          <w:rFonts w:ascii="Arial" w:hAnsi="Arial" w:cs="Arial"/>
        </w:rPr>
        <w:t xml:space="preserve">zakresie prawidłowej, bezpiecznej oraz efektywnej eksploatacji zaoferowanego aparatu (dalej jako: Przedmiot zamówienia). </w:t>
      </w:r>
    </w:p>
    <w:p w:rsidR="004968DE" w:rsidRPr="00127A6C" w:rsidRDefault="004968DE" w:rsidP="00AC1BF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  <w:r w:rsidRPr="00127A6C">
        <w:rPr>
          <w:rFonts w:ascii="Arial" w:hAnsi="Arial" w:cs="Arial"/>
        </w:rPr>
        <w:t>Wykonawca dostarczy przedmiot zamówienia spełniający wymogi i wytworzony zgodnie z obowiązującymi przepisami prawa w szczególności</w:t>
      </w:r>
      <w:r>
        <w:rPr>
          <w:rFonts w:ascii="Arial" w:hAnsi="Arial" w:cs="Arial"/>
        </w:rPr>
        <w:t xml:space="preserve"> ustawą o wyrobach medycznych z </w:t>
      </w:r>
      <w:r w:rsidRPr="00127A6C">
        <w:rPr>
          <w:rFonts w:ascii="Arial" w:hAnsi="Arial" w:cs="Arial"/>
        </w:rPr>
        <w:t xml:space="preserve">dnia 07 kwietnia 2022 roku (tj. Dz. U. Nr 2022 pozycja Nr 974 ze zm.) </w:t>
      </w:r>
    </w:p>
    <w:p w:rsidR="004968DE" w:rsidRPr="00127A6C" w:rsidRDefault="004968DE" w:rsidP="00AC1BF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Dostarczony przedmiot zamówienia powinien być: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Fabrycznie nowy,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Wyprodukowany w 2024 roku,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Wolny od wad fizycznych i prawnych,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Dobrej jakości oraz dopuszczony do obrotu,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Nie posiadać żadnych śladów użytkowania,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Nie być przedmiotem praw osób trzecich,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Być wyprodukowany jedynie z materiałów </w:t>
      </w:r>
      <w:r>
        <w:rPr>
          <w:rFonts w:ascii="Arial" w:hAnsi="Arial" w:cs="Arial"/>
        </w:rPr>
        <w:t>posiadających stosowne atesty i </w:t>
      </w:r>
      <w:r w:rsidRPr="00127A6C">
        <w:rPr>
          <w:rFonts w:ascii="Arial" w:hAnsi="Arial" w:cs="Arial"/>
        </w:rPr>
        <w:t xml:space="preserve">certyfikaty. </w:t>
      </w:r>
    </w:p>
    <w:p w:rsidR="004968DE" w:rsidRPr="00127A6C" w:rsidRDefault="004968DE" w:rsidP="00AC1BF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>Żaden element dostawy ani jego część składowa, nie może być rekondycjonowana, powystawowa i nie może być wykorzystywana</w:t>
      </w:r>
      <w:r>
        <w:rPr>
          <w:rFonts w:ascii="Arial" w:hAnsi="Arial" w:cs="Arial"/>
        </w:rPr>
        <w:t xml:space="preserve"> wcześniej przez inny podmiot w </w:t>
      </w:r>
      <w:r w:rsidRPr="00127A6C">
        <w:rPr>
          <w:rFonts w:ascii="Arial" w:hAnsi="Arial" w:cs="Arial"/>
        </w:rPr>
        <w:t xml:space="preserve">jakimkolwiek celu. </w:t>
      </w:r>
    </w:p>
    <w:p w:rsidR="004968DE" w:rsidRPr="00127A6C" w:rsidRDefault="004968DE" w:rsidP="00AC1BF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>Wykonawca odpowiedzialny będzie za wniesienie i ustawienie poszczególnych elementów przedmiotu na właściwe wskazane przez Zamawiającego miejsce w jego siedzibie. Wykonawca ma obowiązek dostarczyć i zainstalować urządzenie oraz przeszkolić (nieodpłatnie) wskazany przez Zamawiaj</w:t>
      </w:r>
      <w:r>
        <w:rPr>
          <w:rFonts w:ascii="Arial" w:hAnsi="Arial" w:cs="Arial"/>
        </w:rPr>
        <w:t>ącego personel z jego obsługi i </w:t>
      </w:r>
      <w:r w:rsidRPr="00127A6C">
        <w:rPr>
          <w:rFonts w:ascii="Arial" w:hAnsi="Arial" w:cs="Arial"/>
        </w:rPr>
        <w:t xml:space="preserve">konserwacji. </w:t>
      </w:r>
    </w:p>
    <w:p w:rsidR="004968DE" w:rsidRPr="00127A6C" w:rsidRDefault="004968DE" w:rsidP="00AC1BF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>Po wykonanym montażu (złożeniu) poszczególnych elementów urządzenia na terenie Zamawiającego, Wykonawca zobowiązuje się do posprzątania pomieszczenia Zamawiającego, w którym realizowany będzie ten montaż ze wszystkich pozostałych po nim odpadów i innych pozostałych po nim niep</w:t>
      </w:r>
      <w:r>
        <w:rPr>
          <w:rFonts w:ascii="Arial" w:hAnsi="Arial" w:cs="Arial"/>
        </w:rPr>
        <w:t>otrzebnych elementów, łącznie z </w:t>
      </w:r>
      <w:r w:rsidRPr="00127A6C">
        <w:rPr>
          <w:rFonts w:ascii="Arial" w:hAnsi="Arial" w:cs="Arial"/>
        </w:rPr>
        <w:t xml:space="preserve">wyniesieniem i zagospodarowaniem na koszt Wykonawcy pozostałych po montażu zużytych opakowań. </w:t>
      </w:r>
    </w:p>
    <w:p w:rsidR="004968DE" w:rsidRPr="00127A6C" w:rsidRDefault="004968DE" w:rsidP="000346F7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Miejscem odbioru przedmiotu zamówienia jest siedziba Zamawiającego w Sulęcinie przy ulicy Witosa 4. O terminie dostawy Wykonawca powiadomi Zamawiającego co najmniej z jednodniowym wyprzedzeniem. Zamawiający zastrzega, że dostawa musi odbyć się w godzinach pracy, tj. od godz. 8.00 do godz. 14.00 w dni robocze (tj. od poniedziałku do piątku z pominięciem dni ustawowo wolnych od pracy). Za dzień dostarczenia uważa się dzień, w którym zostanie podpisany przez obie strony protokół zdawczo – odbiorczy,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>Protokół zdawczo - odbiorczy zostanie podpisany po montażu, dostarczeniu przedmiotu umowy jego uruchomieniu i przeszkoleniu p</w:t>
      </w:r>
      <w:r>
        <w:rPr>
          <w:rFonts w:ascii="Arial" w:hAnsi="Arial" w:cs="Arial"/>
        </w:rPr>
        <w:t>ersonelu Zamawiającego z </w:t>
      </w:r>
      <w:r w:rsidRPr="00127A6C">
        <w:rPr>
          <w:rFonts w:ascii="Arial" w:hAnsi="Arial" w:cs="Arial"/>
        </w:rPr>
        <w:t xml:space="preserve">jego obsługi i konserwacji, w miejsce wskazanym przez Zamawiającego oraz sprawdzeniu przez Zamawiającego czy dostarczony przedmiot umowy jest wolny od wad.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Przedmiot Umowy musi: </w:t>
      </w:r>
    </w:p>
    <w:p w:rsidR="004968DE" w:rsidRPr="00127A6C" w:rsidRDefault="004968DE" w:rsidP="00AC1BFF">
      <w:pPr>
        <w:numPr>
          <w:ilvl w:val="4"/>
          <w:numId w:val="20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Posiadać właściwe atesty w szczególności certyfikat CE, deklaracje zgodności, świadectwa jakości i dopuszczenia oraz inne dokumenty potwierdzające, że spełnia wszelkie normy i wymagania dla niego przewidziane prawem, </w:t>
      </w:r>
    </w:p>
    <w:p w:rsidR="004968DE" w:rsidRPr="00127A6C" w:rsidRDefault="004968DE" w:rsidP="00AC1BFF">
      <w:pPr>
        <w:numPr>
          <w:ilvl w:val="4"/>
          <w:numId w:val="20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Odpowiadać wymaganiom określonym w SWZ, </w:t>
      </w:r>
    </w:p>
    <w:p w:rsidR="004968DE" w:rsidRPr="00127A6C" w:rsidRDefault="004968DE" w:rsidP="00AC1BFF">
      <w:pPr>
        <w:numPr>
          <w:ilvl w:val="4"/>
          <w:numId w:val="20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Być produktem bezpiecznym w rozumieniu </w:t>
      </w:r>
      <w:r>
        <w:rPr>
          <w:rFonts w:ascii="Arial" w:hAnsi="Arial" w:cs="Arial"/>
        </w:rPr>
        <w:t>ustawy z dnia 2 lutego 2021r. o </w:t>
      </w:r>
      <w:r w:rsidRPr="00127A6C">
        <w:rPr>
          <w:rFonts w:ascii="Arial" w:hAnsi="Arial" w:cs="Arial"/>
        </w:rPr>
        <w:t xml:space="preserve">ogólnym bezpieczeństwie produktów (Dz. U. z 2021 r. pozycja 222).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>Wykonawca złoży wraz z ofertą dokumenty potwierdzające, że oferowany przedmiot zamówienia dopuszczony jest do obrotu na terenie RP zgodnie z ustawą z dnia 07 kwietna 2022 r. o wyrobach medycznych (Dz. U. z 2022r. pozycja 974 z późniejszymi zmianami).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Wraz z dostawą Przedmiotu zamówienia Wykonawca dostarczy: </w:t>
      </w:r>
    </w:p>
    <w:p w:rsidR="004968DE" w:rsidRPr="00127A6C" w:rsidRDefault="004968DE" w:rsidP="00AC1BFF">
      <w:pPr>
        <w:numPr>
          <w:ilvl w:val="4"/>
          <w:numId w:val="20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Instrukcję obsługi w zakresie konserwacji i eksploatacji przedmiotu zamówienia (w języku polskim) w wersji papierowej i elektronicznej, </w:t>
      </w:r>
    </w:p>
    <w:p w:rsidR="004968DE" w:rsidRPr="00127A6C" w:rsidRDefault="004968DE" w:rsidP="00AC1BFF">
      <w:pPr>
        <w:numPr>
          <w:ilvl w:val="4"/>
          <w:numId w:val="20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Kartę gwarancyjną przedmiotu zamówienia wydaną przez Wykonawcę. </w:t>
      </w:r>
    </w:p>
    <w:p w:rsidR="004968DE" w:rsidRPr="00127A6C" w:rsidRDefault="004968DE" w:rsidP="00AC1BFF">
      <w:pPr>
        <w:numPr>
          <w:ilvl w:val="4"/>
          <w:numId w:val="20"/>
        </w:numPr>
        <w:tabs>
          <w:tab w:val="clear" w:pos="3600"/>
        </w:tabs>
        <w:spacing w:after="0" w:line="240" w:lineRule="auto"/>
        <w:ind w:left="126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Paszport techniczny z wykazem ( danymi teleadresowymi ) autoryzowanych serwisów na terenie Polski.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Odpowiedzialność z tytułu gwarancji obejmuje wszelkie wady przedmiotu zamówienia nie wynikające z winy Zamawiającego. W okresie gwarancji Wykonawca jest zobowiązany dokonać nieodpłatnie naprawy lub wymiany przedmiotu zamówienia lub jego poszczególnych części także w przypadku, gdy konieczność naprawy lub wymiany jest wynikiem eksploatacyjnego zużycia urządzenia lub jego części, z wyjątkiem materiałów zużywalnych,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>Wymagany czas naprawy gwarancyjnej nie może przekroczyć 7 dni od dnia zgłoszenia przez Zamawiającego. Po upływie 7 dni Wykonawca dostarczy urządzenie zastępcze o tych samych parametrach na czas konieczny do naprawy. Dostarczenie, wstawienie, podłączenie oraz przeszkolenie w zakresie obsługi urządzenia zastępczego nastąpi na koszt Wykonawcy. I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Zamawiający zgłasza Wykonawcy awarię telefonicznie, potwierdzając zgłoszenie faxem lub pocztą elektroniczną,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W przypadku, gdy czas naprawy gwarancyjnej będzie dłuższy niż 7 dni, gwarancja ulega przedłużeniu o czas przerwy w eksploatacji,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Obligatoryjna wymiana poszczególnego składnika Przedmiotu Umowy na nowy nastąpi w przypadku wystąpienia jego trzeciej awarii,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Wymiana elementu / podzespołu na nowy nastąpi w przypadku dwukrotnej naprawy tego samego elementu / podzespołu, </w:t>
      </w:r>
    </w:p>
    <w:p w:rsidR="004968DE" w:rsidRPr="00127A6C" w:rsidRDefault="004968DE" w:rsidP="00AC1BFF">
      <w:pPr>
        <w:numPr>
          <w:ilvl w:val="2"/>
          <w:numId w:val="20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 xml:space="preserve">Okres gwarancji w przypadku wymiany przedmiotu zamówienia na nowy lub elementu podzespołu na nowy wynosi co najmniej 24 miesiące i będzie liczony od momentu wymiany Przedmiotu Umowy lub elementu podzespołu na nowy, </w:t>
      </w:r>
    </w:p>
    <w:p w:rsidR="004968DE" w:rsidRPr="00127A6C" w:rsidRDefault="004968DE" w:rsidP="003247B6">
      <w:pPr>
        <w:numPr>
          <w:ilvl w:val="2"/>
          <w:numId w:val="20"/>
        </w:numPr>
        <w:tabs>
          <w:tab w:val="clear" w:pos="2340"/>
        </w:tabs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27A6C">
        <w:rPr>
          <w:rFonts w:ascii="Arial" w:hAnsi="Arial" w:cs="Arial"/>
        </w:rPr>
        <w:t>Wykonawca zobowiązany jest do powiadomienia Zamawiającego o terminie usunięcia wady lub dostarczenia rzeczy wolnej od wad.</w:t>
      </w:r>
    </w:p>
    <w:p w:rsidR="004968DE" w:rsidRDefault="004968DE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u w:val="single"/>
        </w:rPr>
      </w:pPr>
    </w:p>
    <w:p w:rsidR="004968DE" w:rsidRDefault="004968DE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u w:val="single"/>
        </w:rPr>
      </w:pPr>
    </w:p>
    <w:p w:rsidR="004968DE" w:rsidRDefault="004968DE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u w:val="single"/>
        </w:rPr>
      </w:pPr>
    </w:p>
    <w:p w:rsidR="004968DE" w:rsidRPr="00127A6C" w:rsidRDefault="004968DE" w:rsidP="003247B6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u w:val="single"/>
        </w:rPr>
      </w:pPr>
      <w:r w:rsidRPr="00127A6C">
        <w:rPr>
          <w:rFonts w:ascii="Arial" w:hAnsi="Arial" w:cs="Arial"/>
          <w:u w:val="single"/>
        </w:rPr>
        <w:t xml:space="preserve">Wymagane parametry techniczno – użytkowe przedmiotu zamówienia </w:t>
      </w: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4857"/>
        <w:gridCol w:w="68"/>
        <w:gridCol w:w="79"/>
        <w:gridCol w:w="1559"/>
        <w:gridCol w:w="93"/>
        <w:gridCol w:w="69"/>
        <w:gridCol w:w="2090"/>
      </w:tblGrid>
      <w:tr w:rsidR="004968DE" w:rsidRPr="00127A6C">
        <w:trPr>
          <w:cantSplit/>
        </w:trPr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127A6C">
              <w:rPr>
                <w:rFonts w:ascii="Arial" w:hAnsi="Arial" w:cs="Arial"/>
                <w:b/>
                <w:bCs/>
                <w:snapToGrid w:val="0"/>
                <w:color w:val="000000"/>
              </w:rPr>
              <w:t>Videogastroskop (HDTV) – 1 szt.</w:t>
            </w: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7A6C">
              <w:rPr>
                <w:rFonts w:ascii="Arial" w:hAnsi="Arial" w:cs="Arial"/>
                <w:sz w:val="20"/>
                <w:szCs w:val="20"/>
                <w:lang w:val="pl-PL"/>
              </w:rPr>
              <w:t>Parametry techniczne sprzętu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Parametry graniczne wymagane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A4164F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A6C">
              <w:rPr>
                <w:rFonts w:ascii="Arial" w:hAnsi="Arial" w:cs="Arial"/>
                <w:sz w:val="20"/>
                <w:szCs w:val="20"/>
                <w:lang w:eastAsia="pl-PL"/>
              </w:rPr>
              <w:t>WARTOŚĆ OFEROWANA</w:t>
            </w:r>
          </w:p>
          <w:p w:rsidR="004968DE" w:rsidRPr="00127A6C" w:rsidRDefault="004968DE" w:rsidP="00A4164F">
            <w:pPr>
              <w:snapToGrid w:val="0"/>
              <w:spacing w:after="0" w:line="240" w:lineRule="auto"/>
              <w:jc w:val="center"/>
              <w:rPr>
                <w:rFonts w:ascii="Arial" w:eastAsia="Batang" w:hAnsi="Arial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127A6C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oraz odnośnik             w dokumentacji umożliwiający sprawdzenie podanych parametrów</w:t>
            </w:r>
            <w:r w:rsidRPr="00127A6C">
              <w:rPr>
                <w:rFonts w:ascii="Arial" w:hAnsi="Arial" w:cs="Arial"/>
                <w:sz w:val="20"/>
                <w:szCs w:val="20"/>
                <w:lang w:eastAsia="pl-PL"/>
              </w:rPr>
              <w:t>, itp.)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7A6C">
              <w:rPr>
                <w:rFonts w:ascii="Arial" w:hAnsi="Arial" w:cs="Arial"/>
                <w:sz w:val="20"/>
                <w:szCs w:val="20"/>
                <w:lang w:val="pl-PL"/>
              </w:rPr>
              <w:t>Urządzenie fabrycznie nowe, rok min 2023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jc w:val="center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Aparat umożliwiający optyczną wizualizację (na ekranie monitora) i dostęp terapeutyczny do górnego odcinka przewodu pokarmowego obejmujący m.in. narządy, tkanki : przełyk, żołądek i dwunastnicę.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Aparat do badania pacjentów dorosłych oraz w praktyce pediatrycznej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Obrazowanie w standardzie HDTV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Bezpieczne i bezpośrednie podłączenie z videoprocesorem będącym na wyposażeniu szpitala: EPK-i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Chip CCD wbudowany w końcówkę endoskopu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Średnica kanału roboczego: min. 3,2 mm 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Długość robocza sondy wziernikowej: min. 1050 mm 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Głębia ostrości: min. 2-100 mm 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Zagięcie końcówki sondy wziernikowej:</w:t>
            </w:r>
          </w:p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- góra/dół: min. 210˚/120˚</w:t>
            </w:r>
          </w:p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  <w:lang w:eastAsia="ar-SA"/>
              </w:rPr>
              <w:t>- prawo/lewo: min. 120˚/120˚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Programowalne przyciski sterujące głowicy endoskopowej z możliwością przypisania każdej funkcji sterującej procesora: min. 4 przyciski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  <w:lang w:eastAsia="ar-SA"/>
              </w:rPr>
              <w:t>Możliwość obsługi trybu obrazowania niezależnie w filtracji optycznej oraz cyfrowej - do wyboru przez użytkownika – obie funkcje obrazowania programowalne na niezależne przyciski endoskopu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  <w:lang w:eastAsia="ar-SA"/>
              </w:rPr>
              <w:t>Obrazowanie w trybie wąskiego pasma światła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Dodatkowy kanał do spłukiwania pola obserwacji tzw. </w:t>
            </w:r>
            <w:r w:rsidRPr="00127A6C">
              <w:rPr>
                <w:rFonts w:ascii="Arial" w:hAnsi="Arial" w:cs="Arial"/>
                <w:sz w:val="20"/>
                <w:szCs w:val="20"/>
                <w:lang w:val="en-US" w:eastAsia="ar-SA"/>
              </w:rPr>
              <w:t>WATER-JET System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Złącze kanału typu WATER-JET oraz zawór testera szczelności  zintegrowane z konektorem do procesora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Obrotowy konektor łączący endoskop z procesorem w zakresie 180˚ redukujący ryzyko skręcenia światłowodu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Kompatybilność  z oferowanym w zadaniu procesorem obrazu i źródłem światła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 xml:space="preserve">Możliwość mycia i dezynfekcji automatycznie w środkach chemicznych różnych producentów 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Szerokość/średnica wziernika: max. 9,8 mm 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Szerokość/średnica końca dystalnego: max. 9,9 mm 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Kąt widzenia: min. 140˚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Certyfikat CE i zgłoszenie do rejestru wyrobów medycznych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Długość udzielanej 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cantSplit/>
        </w:trPr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Videokolonoskop (HDTV)- 1 szt.</w:t>
            </w: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Sprzęt fabrycznie nowy, rok min 2023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Aparat umożliwiający optyczną wizualizację dolnego odcinka przewodu pokarmowego (na ekranie monitora) i dostęp terapeutyczny do tego odcinka przewodu pokarmowego obejmujący m.in. narządy, tkanki i podukłady: jelito grube do jelita ślepego.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Aparat do przeprowadzania badań u pacjentów dorosłych oraz w praktyce pediatrycznej.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Obrazowanie w standardzie HDTV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Bezpieczne i bezpośrednie podłączenie z videoprocesorem będącym na wyposażeniu szpitala: EPK-i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Chip CCD wbudowany w końcówkę endoskopu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pStyle w:val="Domynie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  <w:lang w:eastAsia="en-US"/>
              </w:rPr>
              <w:t>Średnica kanału roboczego: min. 3,8 mm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 xml:space="preserve">Długość robocza sondy wziernikowej: min. 1500 mm 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Kąt widzenia: min. 140˚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 xml:space="preserve">Głębia ostrości: min. 4-100 mm 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Zagięcie końcówki sondy wziernikowej:</w:t>
            </w:r>
          </w:p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- góra/dół: min. 180˚/180˚</w:t>
            </w:r>
          </w:p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- prawo/lewo: min. 160˚/160˚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Programowalne przyciski sterujące głowicy endoskopowej z możliwością przypisania każdej funkcji sterującej procesora: min. 4 przyciski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Możliwość obsługi trybu obrazowania niezależnie w filtracji optycznej oraz cyfrowej - do wyboru przez użytkownika – obie funkcje obrazowania programowalne na niezależne przyciski endoskopu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Funkcja obrazowania w trybie wąskiego pasma światła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Dodatkowy kanał do spłukiwania pola obserwacji tzw. WATER-JET System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Złącze kanału WATER-JET oraz zawór testera szczelności  zintegrowane z konektorem do procesora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Obrotowy konektor łączący endoskop z procesorem w zakresie 180˚ redukujący ryzyko skręcenia światłowodu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Szerokość/średnica końca dystalnego: max. 13,2 mm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Szerokość/średnica wziernika : max. 13,2 mm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Kompatybilność  z oferowanym w zadaniu procesorem obrazu i źródłem światła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Obrotowy konektor łączący endoskop z procesorem w zakresie 180˚ redukujący ryzyko skręcenia światłowodu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127A6C">
              <w:rPr>
                <w:rFonts w:ascii="Arial" w:eastAsia="Batang" w:hAnsi="Arial" w:cs="Arial"/>
                <w:sz w:val="20"/>
                <w:szCs w:val="20"/>
              </w:rPr>
              <w:t>Certyfikat CE i zgłoszenie do rejestru wyrobów medycznych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Długość udzielanej 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76586C">
            <w:pPr>
              <w:snapToGrid w:val="0"/>
              <w:spacing w:after="0" w:line="240" w:lineRule="auto"/>
              <w:rPr>
                <w:rFonts w:ascii="Arial" w:eastAsia="Batang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68DE" w:rsidRPr="00127A6C">
        <w:trPr>
          <w:cantSplit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127A6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Videolaryngoskop bezprzewodowy– 1szt.</w:t>
            </w: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b/>
                <w:bCs/>
                <w:sz w:val="20"/>
                <w:szCs w:val="20"/>
              </w:rPr>
              <w:t>Videolaryngoskop bezprzewodowy</w:t>
            </w:r>
            <w:r w:rsidRPr="00127A6C">
              <w:rPr>
                <w:rFonts w:ascii="Arial" w:hAnsi="Arial" w:cs="Arial"/>
                <w:sz w:val="20"/>
                <w:szCs w:val="20"/>
              </w:rPr>
              <w:t xml:space="preserve"> ze zintegrowanym kolorowym wyświetlaczem o przekątnej nie mniejszej niż 3,5”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color w:val="000000"/>
                <w:sz w:val="20"/>
                <w:szCs w:val="20"/>
              </w:rPr>
              <w:t>Ekran videolaryngoskopu zintegrowany na stałe z rękojeścią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color w:val="000000"/>
                <w:sz w:val="20"/>
                <w:szCs w:val="20"/>
              </w:rPr>
              <w:t>Urządzenie medyczne klasy I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Wymiary urządzenia max. 191 x 92 x 112 mm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color w:val="000000"/>
                <w:sz w:val="20"/>
                <w:szCs w:val="20"/>
              </w:rPr>
              <w:t>Waga urządzenia max. 250g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Urządzenie wyposażone w baterię 3400 mAh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Urządzenie wyposażone w baterię umożliwiającą jej wielokrotne ładowanie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Możliwość ładowania baterii urządzenia w trakcie pracy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Maksymalny czas potrzebny do naładowania baterii: 4 godziny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Maksymalny czas pracy na w pełni naładowanej baterii: 240 minut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Wbudowany kolorowy ekran dotykowy 3,5”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Rozdzielczość ekranu: 640x960 pikseli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Wskaźnik pozostałego czasu działania baterii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Wyświetlacz LCD typu TFT obrotowy w płaszczyźnie pionowej i poziomej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Regulacja kąta nachylenia ekranu w pionie: 140°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Regulacja kąta nachylenia ekranu w poziomie: 270°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Źródło Światła: LED 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color w:val="000000"/>
                <w:sz w:val="20"/>
                <w:szCs w:val="20"/>
              </w:rPr>
              <w:t xml:space="preserve">Natężenie oświetlenia: nie mniej niż </w:t>
            </w:r>
            <w:r w:rsidRPr="00127A6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Pr="00127A6C">
              <w:rPr>
                <w:rFonts w:ascii="Arial" w:hAnsi="Arial" w:cs="Arial"/>
                <w:color w:val="000000"/>
                <w:sz w:val="20"/>
                <w:szCs w:val="20"/>
              </w:rPr>
              <w:t>00lx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color w:val="000000"/>
                <w:sz w:val="20"/>
                <w:szCs w:val="20"/>
              </w:rPr>
              <w:t>Temperatura barwowa światła (w kelwinach): nie mniej niż 5000K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Ochrona przed parowaniem kamery podczas zabiegu niewymagająca podgrzewania – łyżki jednorazowe z powłoką anti-fog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Łyżki jednorazowe typu MAC w 5 różnych rozmiarach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Każdy z rozmiarów łyżek wyposażony jest w takie samo złącze – montaż bezpośredni do urządzenia bez potrzeby stosowania adapterów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Urządzenie wyposażone w port USB C do ładowania baterii oraz transmisji danych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Zapis video w standardzie MPEG-4 (MP4)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Zapis zdjęć w standardzie JPEG (JPG)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Możliwość wprowadzenia oznaczenia (np. nazwy oddziału lub użytkownika) w oprogramowaniu urządzenia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Możliwość ustawienia poziomu jasności ekranu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Rozdzielczość przestrzenna 6,5 lp/mm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Funkcja ostrzegawcza o zapełnianiu się pamięci urządzenia- sygnalizacja na ekranie za pomocą specjalnej ikony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Możliwość pracy w każdych warunkach – całkowita ochrona przed wnikaniem pyłu oraz ochrona przed silnymi strumieniami wody lub zalewaniem falą z dowolnego kierunku wszystkich elementów urządzenia (ekran, rękojeść w tym bateria, tor wizyjny w tym kamera) przed zalaniem oraz pyłem  - spełnienie normy wodoodporności IP66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Typ łyżek: Jednorazowe z powłoką anti-fog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color w:val="000000"/>
                <w:sz w:val="20"/>
                <w:szCs w:val="20"/>
              </w:rPr>
              <w:t xml:space="preserve">Warunki pracy: </w:t>
            </w:r>
          </w:p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Temperatura: 5°C~40°C</w:t>
            </w:r>
          </w:p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Temperatura: 10%~80% RH, niekondensująca</w:t>
            </w:r>
          </w:p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45" w:type="dxa"/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925" w:type="dxa"/>
            <w:gridSpan w:val="2"/>
          </w:tcPr>
          <w:p w:rsidR="004968DE" w:rsidRPr="00127A6C" w:rsidRDefault="004968DE" w:rsidP="00F51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Gwarancji –  min. 24 m-ce, 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800" w:type="dxa"/>
            <w:gridSpan w:val="4"/>
          </w:tcPr>
          <w:p w:rsidR="004968DE" w:rsidRPr="00127A6C" w:rsidRDefault="004968DE" w:rsidP="00F51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90" w:type="dxa"/>
            <w:vAlign w:val="center"/>
          </w:tcPr>
          <w:p w:rsidR="004968DE" w:rsidRPr="00127A6C" w:rsidRDefault="004968DE" w:rsidP="0076586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Bronchofiberoskop – 1 szt.</w:t>
            </w: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Bronchofiberoskop, fabrycznie nowy, rok produkcji  nie wcześniej niż 2023r,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Zewnętrzna średnica ruchomej końcówki dystalnej  5,1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Średnica odcinka sztywnego na końcu</w:t>
            </w:r>
          </w:p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Dystalnym 5,1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Średnica wewnętrzna kanału roboczego min 2,55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Długość robocza 600mm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Długość całkowita 880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Kąt widzenia 95º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System optyczny z ruchomym pierścieniem regulacyjnym dioptrii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Oznaczenie położenia dioptrii na okularze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Oznaczenie dopuszczalności zanurzania na korpusie systemu optycznego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6D4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Głębia ostrości 3-50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Dioptrie w zakresie +2 ~ –8 dptr.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Zamontowane na stałe przyłącze ssaka bez konieczności demontażu do procesu mycia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Wygięcia końcówki dystalnej: góra/dół 160/130 stopni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7A6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Tuba wziernikowa wyposażona u swojej nasady w gumowy kompensator naprężeń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Tuba wziernikowa o wzmocnionej konstrukcji nadająca się do wprowadzenia do rurki intubacyjnej – załączyć potwierdzenie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30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Zintegrowany z rękojeścią zawór testera szczelności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Wlot kanału biopsyjnego typu LUER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Wielorazowy, gumowy zawór ssący – 3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Bateryjne , odłączane źródło światła typu LED w zestawie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Koniec dystalny wyposażony w 2 światłowody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rPr>
          <w:trHeight w:val="37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Możliwość podłączenia do stacjonarnego źródła światła halogenowego za pomocą światłowodu z funkcją rotacji konektora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rPr>
          <w:trHeight w:val="22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Pełna współpraca z przenośnym źródłem światła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Możliwość podłączenia do sieciowego, przenośnego źródła światła typu LED z funkcja rotacji konektora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Wilgotność względna warunków pracy w zakresie 30 ~ 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Zakres temperatury pracy w zakresie 10 ~ 40 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Dowolność mycia i dezynfekcji bronchofiberoskopu w środkach chemicznych różnych producentów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Fibroskop nadający się do sterylizacji w tlenku etylenu ETO:</w:t>
            </w:r>
          </w:p>
          <w:p w:rsidR="004968DE" w:rsidRPr="00127A6C" w:rsidRDefault="004968DE" w:rsidP="0076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Temperatura: 55 °C (131 °F)</w:t>
            </w:r>
          </w:p>
          <w:p w:rsidR="004968DE" w:rsidRPr="00127A6C" w:rsidRDefault="004968DE" w:rsidP="0076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Wilgotność względna: 50% wilg. Wzgl.</w:t>
            </w:r>
          </w:p>
          <w:p w:rsidR="004968DE" w:rsidRPr="00127A6C" w:rsidRDefault="004968DE" w:rsidP="0076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Stężenie tlenku etylenu: 600 – 650 mg/L</w:t>
            </w:r>
          </w:p>
          <w:p w:rsidR="004968DE" w:rsidRPr="00127A6C" w:rsidRDefault="004968DE" w:rsidP="0076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Czas ekspozycji na działanie gazu: 5 godzin</w:t>
            </w:r>
          </w:p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Napowietrzanie: 12 godzin w temperaturze 55 °C (131 °F)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Certyfikat CE i zgłoszenie do rejestru wyrobów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6D4A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Długość udzielanej 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68DE" w:rsidRPr="00127A6C" w:rsidRDefault="004968DE" w:rsidP="006D4ACC">
            <w:pPr>
              <w:widowControl w:val="0"/>
              <w:autoSpaceDE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127A6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Szafa do przechowywania </w:t>
            </w:r>
            <w:r w:rsidRPr="00127A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endoskopów </w:t>
            </w:r>
            <w:r w:rsidRPr="00127A6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– 1 szt.</w:t>
            </w: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Sprzęt fabrycznie nowy, rok min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Style w:val="FontStyle52"/>
                <w:snapToGrid w:val="0"/>
                <w:color w:val="000000"/>
              </w:rPr>
              <w:t>Możliwość przechowywania min 4 endoskopów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Style w:val="FontStyle52"/>
                <w:snapToGrid w:val="0"/>
                <w:color w:val="000000"/>
              </w:rPr>
              <w:t xml:space="preserve">Możliwość umieszczenia min. 4 endoskopów giętkich (gastroskopy oraz kolonoskopy, dowolnego producenta)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Style w:val="FontStyle52"/>
                <w:snapToGrid w:val="0"/>
                <w:color w:val="000000"/>
              </w:rPr>
            </w:pPr>
            <w:r w:rsidRPr="00127A6C">
              <w:rPr>
                <w:rStyle w:val="FontStyle52"/>
                <w:snapToGrid w:val="0"/>
                <w:color w:val="000000"/>
              </w:rPr>
              <w:t>Pełna kompatybilność z posiadanymi oraz oferowanymi endoskopami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Style w:val="FontStyle52"/>
                <w:snapToGrid w:val="0"/>
                <w:color w:val="000000"/>
              </w:rPr>
            </w:pPr>
            <w:r w:rsidRPr="00127A6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Wykonana z elementów ze stali nierdzewnej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Style w:val="FontStyle52"/>
                <w:snapToGrid w:val="0"/>
                <w:color w:val="000000"/>
              </w:rPr>
              <w:t>Szafa wyposażona w tacę ociekowe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Style w:val="FontStyle52"/>
                <w:snapToGrid w:val="0"/>
                <w:color w:val="000000"/>
              </w:rPr>
              <w:t>Szafa wyposażona w przeszklone drzwi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color w:val="000000"/>
                <w:sz w:val="20"/>
                <w:szCs w:val="20"/>
              </w:rPr>
              <w:t>Min. 4 wysuwane wieszaki do przechowywania endoskopów w pozycji wiszącej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Style w:val="FontStyle52"/>
                <w:snapToGrid w:val="0"/>
                <w:color w:val="000000"/>
              </w:rPr>
              <w:t>Wymiary min. szer/wys: 1050x2000 (+/- 30%)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rPr>
                <w:rStyle w:val="FontStyle52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Długość udzielanej 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68DE" w:rsidRPr="00127A6C" w:rsidRDefault="004968DE" w:rsidP="006D4ACC">
            <w:pPr>
              <w:widowControl w:val="0"/>
              <w:autoSpaceDE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27A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Automatyczna myjnia endoskopowa – 2 szt.</w:t>
            </w: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Myjnia endoskopów fabrycznie nowy, rok min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Style w:val="FontStyle52"/>
              </w:rPr>
            </w:pPr>
            <w:r w:rsidRPr="00127A6C">
              <w:rPr>
                <w:rStyle w:val="FontStyle52"/>
              </w:rPr>
              <w:t>Możliwość mycia i dezynfekcji endoskopów różnych producentów w tym m.in. posiadanych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Możliwość stosowania środków myjących różnych producentów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Możliwość stosowania środków zarówno wielo- jak i jednorazowego użytku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Automatyczny proces mycia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Dezynfekcja w obiegu zamkniętym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W ramach procesu mycia i dezynfekcji automatyczna  realizacja następujących procesów: </w:t>
            </w:r>
          </w:p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- faza mycia wstępnego, </w:t>
            </w:r>
          </w:p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- faza mycia za pomocą środka enzymatycznego (detergentu),</w:t>
            </w:r>
          </w:p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- faza płukania po myciu,</w:t>
            </w:r>
          </w:p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- faza środka dezynfekującego, </w:t>
            </w:r>
          </w:p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- faza płukania po dezynfekcji</w:t>
            </w:r>
          </w:p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- faza przedmuchiwania/suszenia (przedmuchiwane są wszystkie kanały endoskopu)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Możliwość dowolnego zaprogramowania czasów realizacji poszczególnych procesów w tym min.: mycia, dezynfekcji , przedmuchu w z zakresie min. 0-9h w każdym z przypadków (w zależności od rodzaju stosowanych środków)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Możliwość zaprogramowania min. 15  indywidualnych programów mycia (np. F1 – F15)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Funkcja programowania okresu przydatności dla środka wielorazowego użytku zarówno czasowa jak i ilościowa (maks ilość dni) – wymagane obie opcje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Dodatkowa niezależna pompa dedykowana do funkcji testowania szczelności mytego endoskopu podczas całego cyklu mycia, utrzymująca i kontrolująca podciśnienie w endoskopie w trakcie całego cyklu mycia i dezynfekcji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Elektroniczny manometr do pomiaru podciśnienia w trakcie cyklu mycia endoskopu wysokiej dokładności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Przyłącze testera szczelności zamontowane wewnątrz komory myjącej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Klawiatura dotykowa oraz wyświetlacz LCD do programowania procesów mycia oraz wyświetlania komunikatów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Komunikaty wyświetlane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Myjnia wyposażona w drukarkę dokumentująca przebieg procesu mycia i dezynfekcji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Zbiornik na środek dezynfekcyjny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Zbiornik na koncentrat dezynfekcyjny wykonany z tworzywa sztucznego (kwasoodpornego)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Zbiornik na wodę o pojemności min. 10l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Zbiornik na koncentrat detergentu min. 1,5l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 xml:space="preserve">System niezależnych pomp dozujących środki do mycia i dezynfekcji,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Wewnętrzny system uzdatniania wody (dezynfekcji) promieniowaniem UV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Urządzenie mobilne, system na kołach , z możliwością blokady każdego z kół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uppressAutoHyphens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Komunikaty wyświetlane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Podłączenie i archiwizacja raportów w zewnętrznym systemie do archiwizacji badań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Pakiet środków myjących oraz dezynfekujących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Certyfikat CE i zgłoszenie do rejestru wyrobów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968DE" w:rsidRPr="00127A6C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DE" w:rsidRPr="00127A6C" w:rsidRDefault="004968DE" w:rsidP="0076586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7A6C">
              <w:rPr>
                <w:rFonts w:ascii="Arial" w:hAnsi="Arial" w:cs="Arial"/>
                <w:sz w:val="20"/>
                <w:szCs w:val="20"/>
              </w:rPr>
              <w:t>Długość udzielanej gwarancji –  min. 24 m-ce, gwarancja jest bezpłatna, obejmuje części zamienne, dojazd serwisu, bezpłatne przeglądy okresowe w czasie obowiązywania gwarancji zgodnie z zaleceniami producenta.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E" w:rsidRPr="00127A6C" w:rsidRDefault="004968DE" w:rsidP="0076586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27A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E" w:rsidRPr="00127A6C" w:rsidRDefault="004968DE" w:rsidP="0076586C">
            <w:pPr>
              <w:widowControl w:val="0"/>
              <w:autoSpaceDE w:val="0"/>
              <w:spacing w:after="0" w:line="240" w:lineRule="auto"/>
              <w:ind w:left="57" w:right="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:rsidR="004968DE" w:rsidRPr="00127A6C" w:rsidRDefault="004968DE" w:rsidP="0076586C">
      <w:pPr>
        <w:tabs>
          <w:tab w:val="left" w:pos="851"/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968DE" w:rsidRPr="00127A6C" w:rsidRDefault="004968DE" w:rsidP="00683AF5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</w:rPr>
      </w:pPr>
    </w:p>
    <w:p w:rsidR="004968DE" w:rsidRPr="00127A6C" w:rsidRDefault="004968DE">
      <w:pPr>
        <w:spacing w:after="0" w:line="276" w:lineRule="auto"/>
        <w:jc w:val="both"/>
        <w:rPr>
          <w:rFonts w:ascii="Arial" w:hAnsi="Arial" w:cs="Arial"/>
        </w:rPr>
      </w:pPr>
    </w:p>
    <w:sectPr w:rsidR="004968DE" w:rsidRPr="00127A6C" w:rsidSect="0001747A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DE" w:rsidRDefault="004968DE" w:rsidP="00ED3F4A">
      <w:pPr>
        <w:spacing w:after="0" w:line="240" w:lineRule="auto"/>
      </w:pPr>
      <w:r>
        <w:separator/>
      </w:r>
    </w:p>
  </w:endnote>
  <w:endnote w:type="continuationSeparator" w:id="0">
    <w:p w:rsidR="004968DE" w:rsidRDefault="004968DE" w:rsidP="00ED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E" w:rsidRPr="00F301C3" w:rsidRDefault="004968DE">
    <w:pPr>
      <w:pStyle w:val="Footer"/>
      <w:jc w:val="center"/>
      <w:rPr>
        <w:rFonts w:ascii="Arial" w:hAnsi="Arial" w:cs="Arial"/>
      </w:rPr>
    </w:pPr>
    <w:r w:rsidRPr="00F301C3">
      <w:rPr>
        <w:rFonts w:ascii="Arial" w:hAnsi="Arial" w:cs="Arial"/>
      </w:rPr>
      <w:fldChar w:fldCharType="begin"/>
    </w:r>
    <w:r w:rsidRPr="00F301C3">
      <w:rPr>
        <w:rFonts w:ascii="Arial" w:hAnsi="Arial" w:cs="Arial"/>
      </w:rPr>
      <w:instrText>PAGE   \* MERGEFORMAT</w:instrText>
    </w:r>
    <w:r w:rsidRPr="00F301C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F301C3">
      <w:rPr>
        <w:rFonts w:ascii="Arial" w:hAnsi="Arial" w:cs="Arial"/>
      </w:rPr>
      <w:fldChar w:fldCharType="end"/>
    </w:r>
  </w:p>
  <w:p w:rsidR="004968DE" w:rsidRDefault="004968DE" w:rsidP="00CD086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DE" w:rsidRDefault="004968DE" w:rsidP="00ED3F4A">
      <w:pPr>
        <w:spacing w:after="0" w:line="240" w:lineRule="auto"/>
      </w:pPr>
      <w:r>
        <w:separator/>
      </w:r>
    </w:p>
  </w:footnote>
  <w:footnote w:type="continuationSeparator" w:id="0">
    <w:p w:rsidR="004968DE" w:rsidRDefault="004968DE" w:rsidP="00ED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E" w:rsidRDefault="00496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hint="default"/>
        <w:b/>
        <w:bCs/>
      </w:rPr>
    </w:lvl>
  </w:abstractNum>
  <w:abstractNum w:abstractNumId="3">
    <w:nsid w:val="00000027"/>
    <w:multiLevelType w:val="singleLevel"/>
    <w:tmpl w:val="00000027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4">
    <w:nsid w:val="0000002A"/>
    <w:multiLevelType w:val="singleLevel"/>
    <w:tmpl w:val="C0DE94F8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</w:abstractNum>
  <w:abstractNum w:abstractNumId="5">
    <w:nsid w:val="067A1DB9"/>
    <w:multiLevelType w:val="hybridMultilevel"/>
    <w:tmpl w:val="94F28A3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D0E7F18"/>
    <w:multiLevelType w:val="hybridMultilevel"/>
    <w:tmpl w:val="21E4793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75052"/>
    <w:multiLevelType w:val="hybridMultilevel"/>
    <w:tmpl w:val="2E560DE8"/>
    <w:lvl w:ilvl="0" w:tplc="FFE80E04">
      <w:start w:val="27"/>
      <w:numFmt w:val="bullet"/>
      <w:lvlText w:val=""/>
      <w:lvlJc w:val="left"/>
      <w:pPr>
        <w:tabs>
          <w:tab w:val="num" w:pos="1777"/>
        </w:tabs>
        <w:ind w:left="1777" w:hanging="337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0EF74008"/>
    <w:multiLevelType w:val="hybridMultilevel"/>
    <w:tmpl w:val="B1CA2B16"/>
    <w:lvl w:ilvl="0" w:tplc="B16E42B4">
      <w:start w:val="1"/>
      <w:numFmt w:val="lowerLetter"/>
      <w:lvlText w:val="%1)"/>
      <w:lvlJc w:val="left"/>
      <w:pPr>
        <w:ind w:left="1080" w:hanging="72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72D"/>
    <w:multiLevelType w:val="hybridMultilevel"/>
    <w:tmpl w:val="AFC8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C0118"/>
    <w:multiLevelType w:val="hybridMultilevel"/>
    <w:tmpl w:val="4AD2AF22"/>
    <w:lvl w:ilvl="0" w:tplc="ED72D43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0781F"/>
    <w:multiLevelType w:val="hybridMultilevel"/>
    <w:tmpl w:val="2922826A"/>
    <w:lvl w:ilvl="0" w:tplc="04150017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A611F98"/>
    <w:multiLevelType w:val="multilevel"/>
    <w:tmpl w:val="3B0A7850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AFA320C"/>
    <w:multiLevelType w:val="hybridMultilevel"/>
    <w:tmpl w:val="5A6A20A6"/>
    <w:lvl w:ilvl="0" w:tplc="F91E8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 w:tplc="EBBE68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2" w:tplc="271E15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 Light" w:hAnsi="Calibri Light" w:cs="Calibri Light" w:hint="default"/>
      </w:rPr>
    </w:lvl>
    <w:lvl w:ilvl="3" w:tplc="D10665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libri Light" w:hAnsi="Calibri Light" w:cs="Calibri Light" w:hint="default"/>
      </w:rPr>
    </w:lvl>
    <w:lvl w:ilvl="4" w:tplc="CF8A7E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</w:rPr>
    </w:lvl>
    <w:lvl w:ilvl="5" w:tplc="E19257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 Light" w:hAnsi="Calibri Light" w:cs="Calibri Light" w:hint="default"/>
      </w:rPr>
    </w:lvl>
    <w:lvl w:ilvl="6" w:tplc="01E626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libri Light" w:hAnsi="Calibri Light" w:cs="Calibri Light" w:hint="default"/>
      </w:rPr>
    </w:lvl>
    <w:lvl w:ilvl="7" w:tplc="94FE4A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alibri Light" w:hAnsi="Calibri Light" w:cs="Calibri Light" w:hint="default"/>
      </w:rPr>
    </w:lvl>
    <w:lvl w:ilvl="8" w:tplc="C89C84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 Light" w:hAnsi="Calibri Light" w:cs="Calibri Light" w:hint="default"/>
      </w:rPr>
    </w:lvl>
  </w:abstractNum>
  <w:abstractNum w:abstractNumId="14">
    <w:nsid w:val="1B4F5326"/>
    <w:multiLevelType w:val="hybridMultilevel"/>
    <w:tmpl w:val="3CE80A26"/>
    <w:lvl w:ilvl="0" w:tplc="CBD66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 w:tplc="5198CE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2" w:tplc="56A46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 Light" w:hAnsi="Calibri Light" w:cs="Calibri Light" w:hint="default"/>
      </w:rPr>
    </w:lvl>
    <w:lvl w:ilvl="3" w:tplc="BAF00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libri Light" w:hAnsi="Calibri Light" w:cs="Calibri Light" w:hint="default"/>
      </w:rPr>
    </w:lvl>
    <w:lvl w:ilvl="4" w:tplc="25DA8F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</w:rPr>
    </w:lvl>
    <w:lvl w:ilvl="5" w:tplc="6E24EA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 Light" w:hAnsi="Calibri Light" w:cs="Calibri Light" w:hint="default"/>
      </w:rPr>
    </w:lvl>
    <w:lvl w:ilvl="6" w:tplc="1166C3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libri Light" w:hAnsi="Calibri Light" w:cs="Calibri Light" w:hint="default"/>
      </w:rPr>
    </w:lvl>
    <w:lvl w:ilvl="7" w:tplc="3E4438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alibri Light" w:hAnsi="Calibri Light" w:cs="Calibri Light" w:hint="default"/>
      </w:rPr>
    </w:lvl>
    <w:lvl w:ilvl="8" w:tplc="2996D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 Light" w:hAnsi="Calibri Light" w:cs="Calibri Light" w:hint="default"/>
      </w:rPr>
    </w:lvl>
  </w:abstractNum>
  <w:abstractNum w:abstractNumId="15">
    <w:nsid w:val="1D741929"/>
    <w:multiLevelType w:val="hybridMultilevel"/>
    <w:tmpl w:val="FBA20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8E471A"/>
    <w:multiLevelType w:val="hybridMultilevel"/>
    <w:tmpl w:val="C7C67D1C"/>
    <w:lvl w:ilvl="0" w:tplc="0415000D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12D9B"/>
    <w:multiLevelType w:val="hybridMultilevel"/>
    <w:tmpl w:val="0E74C5BA"/>
    <w:lvl w:ilvl="0" w:tplc="04150017">
      <w:start w:val="4"/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5A150BC"/>
    <w:multiLevelType w:val="hybridMultilevel"/>
    <w:tmpl w:val="E774E428"/>
    <w:lvl w:ilvl="0" w:tplc="82F8C6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6D02CF4"/>
    <w:multiLevelType w:val="hybridMultilevel"/>
    <w:tmpl w:val="21E4793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2F5652"/>
    <w:multiLevelType w:val="multilevel"/>
    <w:tmpl w:val="AF16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2261610"/>
    <w:multiLevelType w:val="hybridMultilevel"/>
    <w:tmpl w:val="CDFE21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D7395"/>
    <w:multiLevelType w:val="hybridMultilevel"/>
    <w:tmpl w:val="DB3C3FFE"/>
    <w:lvl w:ilvl="0" w:tplc="9B16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209E1"/>
    <w:multiLevelType w:val="hybridMultilevel"/>
    <w:tmpl w:val="386E3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0C6B65"/>
    <w:multiLevelType w:val="hybridMultilevel"/>
    <w:tmpl w:val="6B2A852C"/>
    <w:lvl w:ilvl="0" w:tplc="7786F2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E7674"/>
    <w:multiLevelType w:val="hybridMultilevel"/>
    <w:tmpl w:val="0676359E"/>
    <w:lvl w:ilvl="0" w:tplc="798EBC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E2248"/>
    <w:multiLevelType w:val="hybridMultilevel"/>
    <w:tmpl w:val="A8DED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392152"/>
    <w:multiLevelType w:val="hybridMultilevel"/>
    <w:tmpl w:val="F7B44308"/>
    <w:lvl w:ilvl="0" w:tplc="7786F2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63F4B"/>
    <w:multiLevelType w:val="hybridMultilevel"/>
    <w:tmpl w:val="C3EE2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E5A19"/>
    <w:multiLevelType w:val="hybridMultilevel"/>
    <w:tmpl w:val="CA5807BC"/>
    <w:lvl w:ilvl="0" w:tplc="1840B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F2104"/>
    <w:multiLevelType w:val="hybridMultilevel"/>
    <w:tmpl w:val="AAA62798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B87A8C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FA6F974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25B33"/>
    <w:multiLevelType w:val="hybridMultilevel"/>
    <w:tmpl w:val="025E3A0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06ED0"/>
    <w:multiLevelType w:val="multilevel"/>
    <w:tmpl w:val="CD70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60212B79"/>
    <w:multiLevelType w:val="hybridMultilevel"/>
    <w:tmpl w:val="BDF05444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648938D3"/>
    <w:multiLevelType w:val="hybridMultilevel"/>
    <w:tmpl w:val="0366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518165D"/>
    <w:multiLevelType w:val="hybridMultilevel"/>
    <w:tmpl w:val="19D8CC26"/>
    <w:lvl w:ilvl="0" w:tplc="04150001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·"/>
      <w:lvlJc w:val="left"/>
      <w:pPr>
        <w:ind w:left="1590" w:hanging="510"/>
      </w:pPr>
      <w:rPr>
        <w:rFonts w:ascii="Arial Narrow" w:eastAsia="Times New Roman" w:hAnsi="Arial Narro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054CD1"/>
    <w:multiLevelType w:val="hybridMultilevel"/>
    <w:tmpl w:val="21E47932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626C4"/>
    <w:multiLevelType w:val="hybridMultilevel"/>
    <w:tmpl w:val="C4F6A040"/>
    <w:lvl w:ilvl="0" w:tplc="82F8C60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594050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894127"/>
    <w:multiLevelType w:val="hybridMultilevel"/>
    <w:tmpl w:val="6DDE7BB0"/>
    <w:lvl w:ilvl="0" w:tplc="BA6E83E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  <w:color w:val="auto"/>
        <w:sz w:val="22"/>
        <w:szCs w:val="22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330A4"/>
    <w:multiLevelType w:val="hybridMultilevel"/>
    <w:tmpl w:val="378C6502"/>
    <w:lvl w:ilvl="0" w:tplc="A9A2184A">
      <w:start w:val="1"/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B223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000AFD"/>
    <w:multiLevelType w:val="hybridMultilevel"/>
    <w:tmpl w:val="8C74A28E"/>
    <w:lvl w:ilvl="0" w:tplc="656C7EE2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75BE47F4"/>
    <w:multiLevelType w:val="hybridMultilevel"/>
    <w:tmpl w:val="9ED6DF2C"/>
    <w:lvl w:ilvl="0" w:tplc="22B043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81D9F"/>
    <w:multiLevelType w:val="hybridMultilevel"/>
    <w:tmpl w:val="1BAAB724"/>
    <w:lvl w:ilvl="0" w:tplc="B6C05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47696"/>
    <w:multiLevelType w:val="multilevel"/>
    <w:tmpl w:val="5DB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1"/>
  </w:num>
  <w:num w:numId="5">
    <w:abstractNumId w:val="16"/>
  </w:num>
  <w:num w:numId="6">
    <w:abstractNumId w:val="10"/>
  </w:num>
  <w:num w:numId="7">
    <w:abstractNumId w:val="24"/>
  </w:num>
  <w:num w:numId="8">
    <w:abstractNumId w:val="32"/>
  </w:num>
  <w:num w:numId="9">
    <w:abstractNumId w:val="43"/>
  </w:num>
  <w:num w:numId="10">
    <w:abstractNumId w:val="34"/>
  </w:num>
  <w:num w:numId="11">
    <w:abstractNumId w:val="34"/>
  </w:num>
  <w:num w:numId="12">
    <w:abstractNumId w:val="35"/>
  </w:num>
  <w:num w:numId="13">
    <w:abstractNumId w:val="17"/>
  </w:num>
  <w:num w:numId="14">
    <w:abstractNumId w:val="37"/>
  </w:num>
  <w:num w:numId="15">
    <w:abstractNumId w:val="39"/>
  </w:num>
  <w:num w:numId="16">
    <w:abstractNumId w:val="27"/>
  </w:num>
  <w:num w:numId="17">
    <w:abstractNumId w:val="8"/>
  </w:num>
  <w:num w:numId="18">
    <w:abstractNumId w:val="11"/>
  </w:num>
  <w:num w:numId="19">
    <w:abstractNumId w:val="38"/>
  </w:num>
  <w:num w:numId="20">
    <w:abstractNumId w:val="29"/>
  </w:num>
  <w:num w:numId="21">
    <w:abstractNumId w:val="5"/>
  </w:num>
  <w:num w:numId="22">
    <w:abstractNumId w:val="40"/>
  </w:num>
  <w:num w:numId="23">
    <w:abstractNumId w:val="21"/>
  </w:num>
  <w:num w:numId="24">
    <w:abstractNumId w:val="33"/>
  </w:num>
  <w:num w:numId="25">
    <w:abstractNumId w:val="42"/>
  </w:num>
  <w:num w:numId="26">
    <w:abstractNumId w:val="28"/>
  </w:num>
  <w:num w:numId="27">
    <w:abstractNumId w:val="22"/>
  </w:num>
  <w:num w:numId="28">
    <w:abstractNumId w:val="26"/>
  </w:num>
  <w:num w:numId="29">
    <w:abstractNumId w:val="25"/>
  </w:num>
  <w:num w:numId="30">
    <w:abstractNumId w:val="18"/>
  </w:num>
  <w:num w:numId="31">
    <w:abstractNumId w:val="20"/>
  </w:num>
  <w:num w:numId="32">
    <w:abstractNumId w:val="30"/>
  </w:num>
  <w:num w:numId="33">
    <w:abstractNumId w:val="41"/>
  </w:num>
  <w:num w:numId="34">
    <w:abstractNumId w:val="0"/>
  </w:num>
  <w:num w:numId="35">
    <w:abstractNumId w:val="19"/>
  </w:num>
  <w:num w:numId="36">
    <w:abstractNumId w:val="1"/>
  </w:num>
  <w:num w:numId="37">
    <w:abstractNumId w:val="15"/>
  </w:num>
  <w:num w:numId="38">
    <w:abstractNumId w:val="23"/>
  </w:num>
  <w:num w:numId="39">
    <w:abstractNumId w:val="9"/>
  </w:num>
  <w:num w:numId="40">
    <w:abstractNumId w:val="13"/>
  </w:num>
  <w:num w:numId="41">
    <w:abstractNumId w:val="14"/>
  </w:num>
  <w:num w:numId="42">
    <w:abstractNumId w:val="36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7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948"/>
    <w:rsid w:val="000012EB"/>
    <w:rsid w:val="0001747A"/>
    <w:rsid w:val="00017B1A"/>
    <w:rsid w:val="00021E24"/>
    <w:rsid w:val="00033865"/>
    <w:rsid w:val="000346F7"/>
    <w:rsid w:val="00040176"/>
    <w:rsid w:val="00081E15"/>
    <w:rsid w:val="00084317"/>
    <w:rsid w:val="00087B40"/>
    <w:rsid w:val="000A13EA"/>
    <w:rsid w:val="000A15BA"/>
    <w:rsid w:val="000A4921"/>
    <w:rsid w:val="000B71D6"/>
    <w:rsid w:val="000E3CFC"/>
    <w:rsid w:val="000E420F"/>
    <w:rsid w:val="000F4141"/>
    <w:rsid w:val="00104D49"/>
    <w:rsid w:val="00104E01"/>
    <w:rsid w:val="00107D55"/>
    <w:rsid w:val="00107D5A"/>
    <w:rsid w:val="00110813"/>
    <w:rsid w:val="00127A6C"/>
    <w:rsid w:val="00130DC1"/>
    <w:rsid w:val="00132648"/>
    <w:rsid w:val="00132672"/>
    <w:rsid w:val="00134C67"/>
    <w:rsid w:val="00155EE4"/>
    <w:rsid w:val="001569BD"/>
    <w:rsid w:val="00156ECE"/>
    <w:rsid w:val="00165910"/>
    <w:rsid w:val="00167A35"/>
    <w:rsid w:val="00173DF8"/>
    <w:rsid w:val="00197D4A"/>
    <w:rsid w:val="001B0948"/>
    <w:rsid w:val="001B2ECA"/>
    <w:rsid w:val="001B4DA9"/>
    <w:rsid w:val="001C48A2"/>
    <w:rsid w:val="001E0A32"/>
    <w:rsid w:val="001E5B1D"/>
    <w:rsid w:val="001E679D"/>
    <w:rsid w:val="00211F08"/>
    <w:rsid w:val="002259C2"/>
    <w:rsid w:val="00226471"/>
    <w:rsid w:val="0023250D"/>
    <w:rsid w:val="00235BA3"/>
    <w:rsid w:val="00257449"/>
    <w:rsid w:val="002623F4"/>
    <w:rsid w:val="00297E9A"/>
    <w:rsid w:val="002A730C"/>
    <w:rsid w:val="002B469F"/>
    <w:rsid w:val="002C1815"/>
    <w:rsid w:val="002C3341"/>
    <w:rsid w:val="002C463A"/>
    <w:rsid w:val="002C4E47"/>
    <w:rsid w:val="002D3CA7"/>
    <w:rsid w:val="002E4300"/>
    <w:rsid w:val="003021DA"/>
    <w:rsid w:val="00303EC4"/>
    <w:rsid w:val="00321387"/>
    <w:rsid w:val="003247B6"/>
    <w:rsid w:val="00373E9A"/>
    <w:rsid w:val="00376ED2"/>
    <w:rsid w:val="003A386F"/>
    <w:rsid w:val="003B6823"/>
    <w:rsid w:val="003E052E"/>
    <w:rsid w:val="0041493D"/>
    <w:rsid w:val="004453C2"/>
    <w:rsid w:val="00447512"/>
    <w:rsid w:val="00456223"/>
    <w:rsid w:val="004678AC"/>
    <w:rsid w:val="00476226"/>
    <w:rsid w:val="00482148"/>
    <w:rsid w:val="004968DE"/>
    <w:rsid w:val="004C067F"/>
    <w:rsid w:val="004C17CF"/>
    <w:rsid w:val="004D54A0"/>
    <w:rsid w:val="004D71F6"/>
    <w:rsid w:val="004E1CA6"/>
    <w:rsid w:val="004F1A68"/>
    <w:rsid w:val="004F6CF8"/>
    <w:rsid w:val="00502445"/>
    <w:rsid w:val="00506044"/>
    <w:rsid w:val="00543A7A"/>
    <w:rsid w:val="0054529D"/>
    <w:rsid w:val="00566224"/>
    <w:rsid w:val="00582BD4"/>
    <w:rsid w:val="005941DF"/>
    <w:rsid w:val="00594B09"/>
    <w:rsid w:val="005A6ACA"/>
    <w:rsid w:val="005A7847"/>
    <w:rsid w:val="005B1CCA"/>
    <w:rsid w:val="005B24E0"/>
    <w:rsid w:val="005B6C65"/>
    <w:rsid w:val="00600759"/>
    <w:rsid w:val="0060275A"/>
    <w:rsid w:val="00606D2C"/>
    <w:rsid w:val="006109B0"/>
    <w:rsid w:val="00611C38"/>
    <w:rsid w:val="006136BE"/>
    <w:rsid w:val="00615F73"/>
    <w:rsid w:val="00627014"/>
    <w:rsid w:val="006331E7"/>
    <w:rsid w:val="006455B3"/>
    <w:rsid w:val="00657D2C"/>
    <w:rsid w:val="006726A4"/>
    <w:rsid w:val="00683AF5"/>
    <w:rsid w:val="006A7028"/>
    <w:rsid w:val="006C55F6"/>
    <w:rsid w:val="006D4ACC"/>
    <w:rsid w:val="006E0314"/>
    <w:rsid w:val="006E1D2D"/>
    <w:rsid w:val="006F2D3B"/>
    <w:rsid w:val="0071182D"/>
    <w:rsid w:val="00713877"/>
    <w:rsid w:val="00717010"/>
    <w:rsid w:val="00734655"/>
    <w:rsid w:val="0074395F"/>
    <w:rsid w:val="007559BA"/>
    <w:rsid w:val="0075617E"/>
    <w:rsid w:val="007607E0"/>
    <w:rsid w:val="0076586C"/>
    <w:rsid w:val="007716E3"/>
    <w:rsid w:val="0077490D"/>
    <w:rsid w:val="00780686"/>
    <w:rsid w:val="007A678D"/>
    <w:rsid w:val="007B3732"/>
    <w:rsid w:val="007C165B"/>
    <w:rsid w:val="007D153D"/>
    <w:rsid w:val="007D3ED3"/>
    <w:rsid w:val="007D5A45"/>
    <w:rsid w:val="007F4842"/>
    <w:rsid w:val="0080684E"/>
    <w:rsid w:val="00807126"/>
    <w:rsid w:val="0081185E"/>
    <w:rsid w:val="00816BE3"/>
    <w:rsid w:val="008311F3"/>
    <w:rsid w:val="00840ACB"/>
    <w:rsid w:val="00840E57"/>
    <w:rsid w:val="00841DF8"/>
    <w:rsid w:val="00854408"/>
    <w:rsid w:val="00856BDE"/>
    <w:rsid w:val="008629DB"/>
    <w:rsid w:val="00865DE5"/>
    <w:rsid w:val="008958D0"/>
    <w:rsid w:val="008B7865"/>
    <w:rsid w:val="008C51AB"/>
    <w:rsid w:val="008D17A5"/>
    <w:rsid w:val="008E1E2E"/>
    <w:rsid w:val="008F563C"/>
    <w:rsid w:val="0090518D"/>
    <w:rsid w:val="00932333"/>
    <w:rsid w:val="009366D9"/>
    <w:rsid w:val="00941053"/>
    <w:rsid w:val="00944760"/>
    <w:rsid w:val="00950407"/>
    <w:rsid w:val="0096201E"/>
    <w:rsid w:val="00974F66"/>
    <w:rsid w:val="009907EA"/>
    <w:rsid w:val="009A23CF"/>
    <w:rsid w:val="009B75CD"/>
    <w:rsid w:val="009C1EEE"/>
    <w:rsid w:val="009C4BEE"/>
    <w:rsid w:val="009C533B"/>
    <w:rsid w:val="009C7175"/>
    <w:rsid w:val="009D084C"/>
    <w:rsid w:val="009E2BCC"/>
    <w:rsid w:val="009E41BA"/>
    <w:rsid w:val="00A00E65"/>
    <w:rsid w:val="00A04769"/>
    <w:rsid w:val="00A06F8E"/>
    <w:rsid w:val="00A12180"/>
    <w:rsid w:val="00A13353"/>
    <w:rsid w:val="00A16D2B"/>
    <w:rsid w:val="00A20402"/>
    <w:rsid w:val="00A234BF"/>
    <w:rsid w:val="00A23FFE"/>
    <w:rsid w:val="00A246A0"/>
    <w:rsid w:val="00A24FBB"/>
    <w:rsid w:val="00A35AC0"/>
    <w:rsid w:val="00A374A8"/>
    <w:rsid w:val="00A4059C"/>
    <w:rsid w:val="00A4164F"/>
    <w:rsid w:val="00A44961"/>
    <w:rsid w:val="00A535FC"/>
    <w:rsid w:val="00A56B06"/>
    <w:rsid w:val="00A72502"/>
    <w:rsid w:val="00A9108F"/>
    <w:rsid w:val="00A91AF2"/>
    <w:rsid w:val="00A95FBC"/>
    <w:rsid w:val="00A96697"/>
    <w:rsid w:val="00AB553F"/>
    <w:rsid w:val="00AC0B22"/>
    <w:rsid w:val="00AC1BFF"/>
    <w:rsid w:val="00AD44FB"/>
    <w:rsid w:val="00AE0688"/>
    <w:rsid w:val="00AE0962"/>
    <w:rsid w:val="00AF6415"/>
    <w:rsid w:val="00B22114"/>
    <w:rsid w:val="00B24874"/>
    <w:rsid w:val="00B24A16"/>
    <w:rsid w:val="00B277A7"/>
    <w:rsid w:val="00B41AC3"/>
    <w:rsid w:val="00B5066B"/>
    <w:rsid w:val="00B6631E"/>
    <w:rsid w:val="00B6775D"/>
    <w:rsid w:val="00B861C5"/>
    <w:rsid w:val="00B87F54"/>
    <w:rsid w:val="00BD005F"/>
    <w:rsid w:val="00BF66FB"/>
    <w:rsid w:val="00C0115D"/>
    <w:rsid w:val="00C3545B"/>
    <w:rsid w:val="00C52E3B"/>
    <w:rsid w:val="00C55265"/>
    <w:rsid w:val="00C60E49"/>
    <w:rsid w:val="00C72ECD"/>
    <w:rsid w:val="00C77AE5"/>
    <w:rsid w:val="00C817E0"/>
    <w:rsid w:val="00C8614F"/>
    <w:rsid w:val="00C95392"/>
    <w:rsid w:val="00CB1B09"/>
    <w:rsid w:val="00CD0860"/>
    <w:rsid w:val="00CD14A0"/>
    <w:rsid w:val="00CF51EB"/>
    <w:rsid w:val="00CF747B"/>
    <w:rsid w:val="00D10581"/>
    <w:rsid w:val="00D170C2"/>
    <w:rsid w:val="00D213A5"/>
    <w:rsid w:val="00D21B01"/>
    <w:rsid w:val="00D21E95"/>
    <w:rsid w:val="00D32B72"/>
    <w:rsid w:val="00D354AB"/>
    <w:rsid w:val="00D3712A"/>
    <w:rsid w:val="00D53D8D"/>
    <w:rsid w:val="00D76E06"/>
    <w:rsid w:val="00D77885"/>
    <w:rsid w:val="00D83312"/>
    <w:rsid w:val="00D93763"/>
    <w:rsid w:val="00D96339"/>
    <w:rsid w:val="00DB66C2"/>
    <w:rsid w:val="00DD6284"/>
    <w:rsid w:val="00DE7A0E"/>
    <w:rsid w:val="00DF19A0"/>
    <w:rsid w:val="00DF2F8C"/>
    <w:rsid w:val="00E0259F"/>
    <w:rsid w:val="00E123BB"/>
    <w:rsid w:val="00E20E83"/>
    <w:rsid w:val="00E2125E"/>
    <w:rsid w:val="00E26275"/>
    <w:rsid w:val="00E32AAF"/>
    <w:rsid w:val="00E46ADA"/>
    <w:rsid w:val="00E46B04"/>
    <w:rsid w:val="00E603E9"/>
    <w:rsid w:val="00E66831"/>
    <w:rsid w:val="00E76A9F"/>
    <w:rsid w:val="00E802E0"/>
    <w:rsid w:val="00E87D2D"/>
    <w:rsid w:val="00ED3F4A"/>
    <w:rsid w:val="00EF52D9"/>
    <w:rsid w:val="00EF782C"/>
    <w:rsid w:val="00F03A03"/>
    <w:rsid w:val="00F1338F"/>
    <w:rsid w:val="00F16503"/>
    <w:rsid w:val="00F24493"/>
    <w:rsid w:val="00F26279"/>
    <w:rsid w:val="00F301C3"/>
    <w:rsid w:val="00F31728"/>
    <w:rsid w:val="00F46F08"/>
    <w:rsid w:val="00F51F4F"/>
    <w:rsid w:val="00F55508"/>
    <w:rsid w:val="00F774FB"/>
    <w:rsid w:val="00F8587B"/>
    <w:rsid w:val="00FB3166"/>
    <w:rsid w:val="00FD1114"/>
    <w:rsid w:val="00FD22DF"/>
    <w:rsid w:val="00FE61A8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9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D4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247B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9C4BE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1D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4D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6275"/>
    <w:rPr>
      <w:rFonts w:ascii="Calibri" w:hAnsi="Calibri" w:cs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678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78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ED3F4A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3F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D3F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25E"/>
  </w:style>
  <w:style w:type="paragraph" w:styleId="Footer">
    <w:name w:val="footer"/>
    <w:basedOn w:val="Normal"/>
    <w:link w:val="FooterChar"/>
    <w:uiPriority w:val="99"/>
    <w:rsid w:val="00E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25E"/>
  </w:style>
  <w:style w:type="paragraph" w:styleId="BodyText3">
    <w:name w:val="Body Text 3"/>
    <w:basedOn w:val="Normal"/>
    <w:link w:val="BodyText3Char"/>
    <w:uiPriority w:val="99"/>
    <w:rsid w:val="00E2125E"/>
    <w:pPr>
      <w:spacing w:after="120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125E"/>
    <w:rPr>
      <w:sz w:val="16"/>
      <w:szCs w:val="16"/>
    </w:rPr>
  </w:style>
  <w:style w:type="paragraph" w:customStyle="1" w:styleId="Default">
    <w:name w:val="Default"/>
    <w:uiPriority w:val="99"/>
    <w:rsid w:val="00C60E49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0E3CFC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3B6823"/>
    <w:rPr>
      <w:color w:val="0000FF"/>
      <w:u w:val="single"/>
    </w:rPr>
  </w:style>
  <w:style w:type="paragraph" w:customStyle="1" w:styleId="Zawartotabeli">
    <w:name w:val="Zawartość tabeli"/>
    <w:basedOn w:val="Normal"/>
    <w:uiPriority w:val="99"/>
    <w:rsid w:val="00324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istawypunktowana">
    <w:name w:val="Lista wypunktowana"/>
    <w:basedOn w:val="Normal"/>
    <w:uiPriority w:val="99"/>
    <w:rsid w:val="003247B6"/>
    <w:pPr>
      <w:tabs>
        <w:tab w:val="left" w:pos="720"/>
      </w:tabs>
      <w:spacing w:after="0" w:line="240" w:lineRule="auto"/>
      <w:ind w:left="360" w:hanging="360"/>
      <w:jc w:val="center"/>
    </w:pPr>
    <w:rPr>
      <w:rFonts w:ascii="Times New Roman" w:eastAsia="Batang" w:hAnsi="Times New Roman" w:cs="Times New Roman"/>
      <w:b/>
      <w:bCs/>
      <w:i/>
      <w:iCs/>
      <w:color w:val="3366FF"/>
      <w:sz w:val="20"/>
      <w:szCs w:val="20"/>
      <w:lang w:eastAsia="zh-CN"/>
    </w:rPr>
  </w:style>
  <w:style w:type="character" w:customStyle="1" w:styleId="Heading1Char1">
    <w:name w:val="Heading 1 Char1"/>
    <w:link w:val="Heading1"/>
    <w:uiPriority w:val="99"/>
    <w:locked/>
    <w:rsid w:val="00AD44FB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customStyle="1" w:styleId="Akapitzlist1">
    <w:name w:val="Akapit z listą1"/>
    <w:basedOn w:val="Normal"/>
    <w:uiPriority w:val="99"/>
    <w:rsid w:val="009B75C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9B75CD"/>
    <w:rPr>
      <w:rFonts w:cs="Calibri"/>
      <w:lang w:eastAsia="en-US"/>
    </w:rPr>
  </w:style>
  <w:style w:type="character" w:customStyle="1" w:styleId="text-center">
    <w:name w:val="text-center"/>
    <w:basedOn w:val="DefaultParagraphFont"/>
    <w:uiPriority w:val="99"/>
    <w:rsid w:val="009B75CD"/>
  </w:style>
  <w:style w:type="character" w:styleId="Emphasis">
    <w:name w:val="Emphasis"/>
    <w:basedOn w:val="DefaultParagraphFont"/>
    <w:uiPriority w:val="99"/>
    <w:qFormat/>
    <w:locked/>
    <w:rsid w:val="009B75CD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9B75CD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9B75CD"/>
    <w:rPr>
      <w:rFonts w:eastAsia="Times New Roman"/>
      <w:sz w:val="24"/>
      <w:szCs w:val="24"/>
      <w:lang w:val="pl-PL" w:eastAsia="zh-CN"/>
    </w:rPr>
  </w:style>
  <w:style w:type="character" w:customStyle="1" w:styleId="markedcontent">
    <w:name w:val="markedcontent"/>
    <w:basedOn w:val="DefaultParagraphFont"/>
    <w:uiPriority w:val="99"/>
    <w:rsid w:val="009B75CD"/>
  </w:style>
  <w:style w:type="character" w:customStyle="1" w:styleId="Heading7Char1">
    <w:name w:val="Heading 7 Char1"/>
    <w:link w:val="Heading7"/>
    <w:uiPriority w:val="99"/>
    <w:locked/>
    <w:rsid w:val="009C4BEE"/>
    <w:rPr>
      <w:sz w:val="24"/>
      <w:szCs w:val="24"/>
      <w:lang w:val="pl-PL" w:eastAsia="en-US"/>
    </w:rPr>
  </w:style>
  <w:style w:type="character" w:styleId="CommentReference">
    <w:name w:val="annotation reference"/>
    <w:basedOn w:val="DefaultParagraphFont"/>
    <w:uiPriority w:val="99"/>
    <w:semiHidden/>
    <w:rsid w:val="009C4BE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C4BEE"/>
    <w:pPr>
      <w:spacing w:after="0" w:line="240" w:lineRule="auto"/>
    </w:pPr>
    <w:rPr>
      <w:rFonts w:ascii="Wingdings" w:hAnsi="Wingdings" w:cs="Wingdings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6275"/>
    <w:rPr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9C4BEE"/>
    <w:rPr>
      <w:rFonts w:ascii="Wingdings" w:hAnsi="Wingdings" w:cs="Wingding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C4BE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26275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9C4BEE"/>
    <w:rPr>
      <w:rFonts w:ascii="Wingdings" w:hAnsi="Wingdings" w:cs="Wingdings"/>
      <w:b/>
      <w:bCs/>
      <w:lang w:val="en-US" w:eastAsia="en-US"/>
    </w:rPr>
  </w:style>
  <w:style w:type="character" w:customStyle="1" w:styleId="ZnakZnak">
    <w:name w:val="Znak Znak"/>
    <w:uiPriority w:val="99"/>
    <w:rsid w:val="009C4BEE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rsid w:val="00A96697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96697"/>
  </w:style>
  <w:style w:type="character" w:customStyle="1" w:styleId="FontStyle52">
    <w:name w:val="Font Style52"/>
    <w:uiPriority w:val="99"/>
    <w:rsid w:val="0076586C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Normal"/>
    <w:uiPriority w:val="99"/>
    <w:rsid w:val="0076586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Domynie">
    <w:name w:val="Domy徑nie"/>
    <w:uiPriority w:val="99"/>
    <w:rsid w:val="0076586C"/>
    <w:pPr>
      <w:widowControl w:val="0"/>
      <w:autoSpaceDE w:val="0"/>
      <w:autoSpaceDN w:val="0"/>
      <w:adjustRightInd w:val="0"/>
    </w:pPr>
    <w:rPr>
      <w:rFonts w:ascii="Verdana" w:eastAsia="Times New Roman" w:hAnsi="Times New Roman" w:cs="Verdana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2777</Words>
  <Characters>16664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Załącznik nr 3 do SWZ</dc:title>
  <dc:subject/>
  <dc:creator>Mikołaj Budziński</dc:creator>
  <cp:keywords/>
  <dc:description/>
  <cp:lastModifiedBy>admin</cp:lastModifiedBy>
  <cp:revision>2</cp:revision>
  <cp:lastPrinted>2024-04-23T09:38:00Z</cp:lastPrinted>
  <dcterms:created xsi:type="dcterms:W3CDTF">2024-04-24T06:07:00Z</dcterms:created>
  <dcterms:modified xsi:type="dcterms:W3CDTF">2024-04-24T06:07:00Z</dcterms:modified>
</cp:coreProperties>
</file>