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0E" w:rsidRPr="00D42E0E" w:rsidRDefault="00D42E0E" w:rsidP="00D42E0E">
      <w:pPr>
        <w:spacing w:after="0" w:line="720" w:lineRule="atLeast"/>
        <w:textAlignment w:val="top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</w:pPr>
      <w:r w:rsidRPr="00D42E0E"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  <w:t>Poradnik JEDZ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2016-09-05 – </w:t>
      </w:r>
      <w:hyperlink r:id="rId6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Marcin Kalmus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– </w:t>
      </w:r>
      <w:hyperlink r:id="rId7" w:anchor="comments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 komentarze (6)</w:t>
        </w:r>
      </w:hyperlink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część 2: Zamawiający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ogólnych uwagach dotyczących Jednolitego Europejskiego Dokumentu Zamówienia, poczynionych we wpisie </w:t>
      </w:r>
      <w:hyperlink r:id="rId8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Poradnik JEDZ - część 1: Wprowadzenie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przedstawiam kolejną część porad, w której omówione zostaną zagadnienia związane z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etapem przygotowania takiego dokumentu przez Zamawiających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42E0E" w:rsidRPr="00D42E0E" w:rsidRDefault="00D42E0E" w:rsidP="00D42E0E">
      <w:pPr>
        <w:spacing w:after="0" w:line="360" w:lineRule="atLeast"/>
        <w:textAlignment w:val="top"/>
        <w:outlineLvl w:val="2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Przygotowanie JEDZ przez Zamawiającego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Użytkownik na stronie głównej </w:t>
      </w:r>
      <w:hyperlink r:id="rId9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Serwisu Komisji Europejskiej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służącego do tworzenia i edycji jednolitych dokumentów, w opcjach wstępnych winien zdefiniować rodzaj podmiotu (</w:t>
      </w:r>
      <w:r w:rsidRPr="00D42E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instytucja zamawiająca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a następnie wskazać jakie czynności chce wykonać tj. czy wypełnić nowy JEDZ czy też edytować / przejrzeć uprzednio przygotowany.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Po wyborze opcji przygotowania nowego jednolitego dokumentu, niezbędne jest podanie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numeru identyfikacyjnego ogłoszenia o zamówieniu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Zmawiający, po przesłaniu ogłoszenia do publikacji otrzyma e-mail z Urzędu Publikacji </w:t>
      </w:r>
      <w:hyperlink r:id="rId10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(TED-</w:t>
        </w:r>
        <w:proofErr w:type="spellStart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eNotices</w:t>
        </w:r>
        <w:proofErr w:type="spellEnd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)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zawierający numer identyfikacyjny, który należy wykorzystać w celu automatycznego uzupełnienia informacji dotyczących postępowania oraz instytucji zamawiającej.</w:t>
      </w:r>
    </w:p>
    <w:p w:rsidR="00D42E0E" w:rsidRPr="00D42E0E" w:rsidRDefault="00D42E0E" w:rsidP="00D42E0E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Uwaga!</w:t>
      </w:r>
    </w:p>
    <w:p w:rsidR="00D42E0E" w:rsidRPr="00D42E0E" w:rsidRDefault="00D42E0E" w:rsidP="00D42E0E">
      <w:pPr>
        <w:numPr>
          <w:ilvl w:val="1"/>
          <w:numId w:val="1"/>
        </w:numPr>
        <w:shd w:val="clear" w:color="auto" w:fill="FFFFFF"/>
        <w:spacing w:before="240" w:after="100" w:afterAutospacing="1" w:line="360" w:lineRule="atLeast"/>
        <w:ind w:left="720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Przesłany numer identyfikacyjny ma format 2016-xxxxxx (xx-</w:t>
      </w:r>
      <w:proofErr w:type="spellStart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xxxxxx</w:t>
      </w:r>
      <w:proofErr w:type="spellEnd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-xxx). Należy podać wyłącznie numer z nawiasu tj. xx-</w:t>
      </w:r>
      <w:proofErr w:type="spellStart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xxxxxx</w:t>
      </w:r>
      <w:proofErr w:type="spellEnd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-xxx. Jest on również wskazany w tytule przesłanej wiadomości email.</w:t>
      </w:r>
    </w:p>
    <w:p w:rsidR="00D42E0E" w:rsidRPr="00D42E0E" w:rsidRDefault="00D42E0E" w:rsidP="00D42E0E">
      <w:pPr>
        <w:numPr>
          <w:ilvl w:val="1"/>
          <w:numId w:val="1"/>
        </w:numPr>
        <w:shd w:val="clear" w:color="auto" w:fill="FFFFFF"/>
        <w:spacing w:before="240" w:after="100" w:afterAutospacing="1" w:line="360" w:lineRule="atLeast"/>
        <w:ind w:left="720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Podanie numeru </w:t>
      </w:r>
      <w:r w:rsidRPr="00D42E0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pl-PL"/>
        </w:rPr>
        <w:t>opublikowanego ogłoszenia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 np. 2016/S 257-285123 nie gwarantuje prawidłowego zaimportowania danych.</w:t>
      </w:r>
    </w:p>
    <w:p w:rsidR="00D42E0E" w:rsidRPr="00D42E0E" w:rsidRDefault="00D42E0E" w:rsidP="00D42E0E">
      <w:pPr>
        <w:numPr>
          <w:ilvl w:val="0"/>
          <w:numId w:val="1"/>
        </w:numPr>
        <w:shd w:val="clear" w:color="auto" w:fill="FFFFFF"/>
        <w:spacing w:before="240" w:after="100" w:afterAutospacing="1" w:line="360" w:lineRule="atLeast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pl-PL"/>
        </w:rPr>
        <w:t>Ogłoszenie koniecznie musi być przygotowane, zgodnie z aktualnie obowiązującymi formularzami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. Inaczej dane z ogłoszenia mogą nie zostać prawidłowo zaimportowane do JEDZ. Z ogłoszeń o zamówieniu opublikowanych przez polskich zamawiających w dniu 05 września – ponad połowa (40 z 73) została przygotowana na nieobowiązujących już formularzach (odnoszących się do uchylonych Dyrektyw 17 i 18 /2004), niestety nie jest to optymistyczna statystyka.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br/>
        <w:t>O tym, jak dokonać zmiany rodzajów wykorzystywanych formularzy ogłoszeń, można przeczytać we wpisie </w:t>
      </w:r>
      <w:hyperlink r:id="rId11" w:history="1">
        <w:r w:rsidRPr="00D42E0E">
          <w:rPr>
            <w:rFonts w:ascii="Arial" w:eastAsia="Times New Roman" w:hAnsi="Arial" w:cs="Arial"/>
            <w:i/>
            <w:iCs/>
            <w:color w:val="E77914"/>
            <w:sz w:val="24"/>
            <w:szCs w:val="24"/>
            <w:u w:val="single"/>
            <w:lang w:eastAsia="pl-PL"/>
          </w:rPr>
          <w:t>„Nieprawidłowe formularze ogłoszeń w TED”</w:t>
        </w:r>
      </w:hyperlink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.</w:t>
      </w:r>
    </w:p>
    <w:p w:rsidR="00D42E0E" w:rsidRPr="00D42E0E" w:rsidRDefault="00D42E0E" w:rsidP="00D42E0E">
      <w:pPr>
        <w:numPr>
          <w:ilvl w:val="0"/>
          <w:numId w:val="1"/>
        </w:numPr>
        <w:shd w:val="clear" w:color="auto" w:fill="FFFFFF"/>
        <w:spacing w:before="240" w:after="100" w:afterAutospacing="1" w:line="360" w:lineRule="atLeast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lastRenderedPageBreak/>
        <w:t>Porada: – po wyświetleniu listy państw w formatce „Wybierz państwo” kliknięcie litery „P” na klawiaturze znacznie przyśpiesza odnalezienie Polski.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Część I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”Procedura”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Wskazane tu zostają dane formalne umożliwiające identyfikację zamawiającego oraz postępowania, którego dotyczy przygotowany jednolity dokument.</w:t>
      </w:r>
    </w:p>
    <w:p w:rsidR="00D42E0E" w:rsidRPr="00D42E0E" w:rsidRDefault="00D42E0E" w:rsidP="00D42E0E">
      <w:pPr>
        <w:shd w:val="clear" w:color="auto" w:fill="FFFFFF"/>
        <w:spacing w:line="360" w:lineRule="atLeast"/>
        <w:jc w:val="both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W przypadku błędów importu danych z ogłoszenia o zamówieniu lub przygotowywania jednolitego dokumentu w trybie w którym ogłoszenie nie występuje, należy uzupełnić je ręcznie.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Część II: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"Informacje dotyczące wykonawcy"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Zawiera pola dotyczące danych wykonawcy w związku z powyższym zamawiający nie ma do niej dostępu (nie wyświetla się).</w:t>
      </w:r>
    </w:p>
    <w:p w:rsidR="00D42E0E" w:rsidRPr="00D42E0E" w:rsidRDefault="00D42E0E" w:rsidP="00D42E0E">
      <w:pPr>
        <w:shd w:val="clear" w:color="auto" w:fill="FFFFFF"/>
        <w:spacing w:line="360" w:lineRule="atLeast"/>
        <w:jc w:val="both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W każdej chwili możemy przełączyć rodzaj podglądu pomiędzy Instytucją zamawiającą (IZ), a Wykonawcą (WY) (prawy górny róg strony).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br/>
        <w:t>Zmiana rodzaju widoku nie wpływa na rodzaj użytkownika przeglądającego / edytującego jednolity dokument (określonego w pytaniach wstępnych na stronie głównej).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Część III: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"Wykluczenie"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formularzu domyślnie zaznaczone są wszystkie podstawy wykluczenia wynikające z obowiązujących dyrektyw - punkty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A-C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Przy czym podstawy wykluczenia opisane w punktach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 i B są obligatoryjne dla wszystkich zamawiających na terenie UE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natomiast te opisane w punkcie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hyperlink r:id="rId12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(art. 57 ust. 4 dyrektywy 2014/24/UE) 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ustawodawca unijny pozwolił uregulować jako obligatoryjne / fakultatywne w prawodawstwach państw członkowskich.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Polscy zamawiający zobowiązani są obligatoryjnie zaznaczyć w punkcie C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podstawy wykluczenia dotyczące:</w:t>
      </w:r>
    </w:p>
    <w:p w:rsidR="00D42E0E" w:rsidRPr="00D42E0E" w:rsidRDefault="00D42E0E" w:rsidP="00D42E0E">
      <w:pPr>
        <w:numPr>
          <w:ilvl w:val="0"/>
          <w:numId w:val="2"/>
        </w:numPr>
        <w:spacing w:before="24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naruszenia obowiązków w dziedzinie prawa:</w:t>
      </w:r>
    </w:p>
    <w:p w:rsidR="00D42E0E" w:rsidRPr="00D42E0E" w:rsidRDefault="00D42E0E" w:rsidP="00D42E0E">
      <w:pPr>
        <w:numPr>
          <w:ilvl w:val="1"/>
          <w:numId w:val="2"/>
        </w:numPr>
        <w:spacing w:before="24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ochrony środowiska,</w:t>
      </w:r>
    </w:p>
    <w:p w:rsidR="00D42E0E" w:rsidRPr="00D42E0E" w:rsidRDefault="00D42E0E" w:rsidP="00D42E0E">
      <w:pPr>
        <w:numPr>
          <w:ilvl w:val="1"/>
          <w:numId w:val="2"/>
        </w:numPr>
        <w:spacing w:before="24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socjalnego,</w:t>
      </w:r>
    </w:p>
    <w:p w:rsidR="00D42E0E" w:rsidRPr="00D42E0E" w:rsidRDefault="00D42E0E" w:rsidP="00D42E0E">
      <w:pPr>
        <w:numPr>
          <w:ilvl w:val="1"/>
          <w:numId w:val="2"/>
        </w:numPr>
        <w:spacing w:before="240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prawa pracy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" w:anchor="art_24-ust_1-pkt_13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 xml:space="preserve">(część przestępstw wymienionych w art. 24 ust. 1 pkt 13 i 14 </w:t>
        </w:r>
        <w:proofErr w:type="spellStart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) 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+ porozumień z innymi wykonawcami mających na celu zakłócenie konkurencji </w:t>
      </w:r>
      <w:hyperlink r:id="rId14" w:anchor="art_24-ust_1-pkt_20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 xml:space="preserve">(art. 24 ust. 1 pkt 20 </w:t>
        </w:r>
        <w:proofErr w:type="spellStart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) 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+ bezpośredniego lub pośredniego zaangażowania w przygotowanie postępowania o udzielenie zamówienia </w:t>
      </w:r>
      <w:hyperlink r:id="rId15" w:anchor="art_24-ust_1-pkt_19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 xml:space="preserve">(art. 24 ust. 1 pkt 19 </w:t>
        </w:r>
        <w:proofErr w:type="spellStart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) 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+ wprowadzenia 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błąd, zatajenie informacji lub niemożność przedstawienia wymaganych dokumentów lub uzyskanie poufnych informacji na temat postępowania </w:t>
      </w:r>
      <w:hyperlink r:id="rId16" w:anchor="art_24-ust_1-pkt_16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 xml:space="preserve">(art. 24 ust. 1 pkt 16, 17, 18 </w:t>
        </w:r>
        <w:proofErr w:type="spellStart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) 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Również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obowiązkowe jest zaznaczenie punktu D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gdyż część podstaw o charakterze wyłącznie krajowym została w </w:t>
      </w:r>
      <w:proofErr w:type="spellStart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określona jako podstawy obligatoryjne.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Część IV: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"Kryteria kwalifikacji”: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Zmawiający jest zobowiązany wskazać ustalone w danym postępowaniu i zawarte w ogłoszeniu o zamówieniu / SIWZ / zaproszeniu, warunki udziału w postępowaniu (kryteria kwalifikacji).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Zamawiający w dokumentach zamówienia winien również wskazać czy wystarczającym będzie złożenie przez wykonawcę ogólnego oświadczenia o spełnianiu warunków </w:t>
      </w:r>
      <w:r w:rsidRPr="00D42E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litera ɑ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(Ogólne oświadczenie dotyczące wszystkich kryteriów kwalifikacji) czy też odpowiednio w </w:t>
      </w:r>
      <w:r w:rsidRPr="00D42E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literach A-D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tej sekcji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 podania szczegółowych informacji potwierdzających spełnianie warunków.</w:t>
      </w:r>
    </w:p>
    <w:p w:rsidR="00D42E0E" w:rsidRPr="00D42E0E" w:rsidRDefault="00D42E0E" w:rsidP="00D42E0E">
      <w:pPr>
        <w:shd w:val="clear" w:color="auto" w:fill="FFFFFF"/>
        <w:spacing w:line="360" w:lineRule="atLeast"/>
        <w:jc w:val="both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 xml:space="preserve">Proszę zwrócić szczególną uwagę na znaczenie podobnych pojęć używanych w treści polskiego tłumaczenia jednolitego dokumentu tj. „kryteria kwalifikacji” i „kryteriów selekcji” używanych w </w:t>
      </w:r>
      <w:proofErr w:type="spellStart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Pzp</w:t>
      </w:r>
      <w:proofErr w:type="spellEnd"/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.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br/>
      </w:r>
      <w:r w:rsidRPr="00D42E0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pl-PL"/>
        </w:rPr>
        <w:t>„kryteria kwalifikacji”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 - to określone zgodnie z </w:t>
      </w:r>
      <w:hyperlink r:id="rId17" w:history="1">
        <w:r w:rsidRPr="00D42E0E">
          <w:rPr>
            <w:rFonts w:ascii="Arial" w:eastAsia="Times New Roman" w:hAnsi="Arial" w:cs="Arial"/>
            <w:i/>
            <w:iCs/>
            <w:color w:val="E77914"/>
            <w:sz w:val="24"/>
            <w:szCs w:val="24"/>
            <w:u w:val="single"/>
            <w:lang w:eastAsia="pl-PL"/>
          </w:rPr>
          <w:t xml:space="preserve">art. 22 </w:t>
        </w:r>
        <w:proofErr w:type="spellStart"/>
        <w:r w:rsidRPr="00D42E0E">
          <w:rPr>
            <w:rFonts w:ascii="Arial" w:eastAsia="Times New Roman" w:hAnsi="Arial" w:cs="Arial"/>
            <w:i/>
            <w:iCs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</w:hyperlink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 – warunki udziału w postępowaniu,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br/>
      </w:r>
      <w:r w:rsidRPr="00D42E0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pl-PL"/>
        </w:rPr>
        <w:t>„kryteria selekcji”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 - to natomiast określone np. w </w:t>
      </w:r>
      <w:hyperlink r:id="rId18" w:anchor="art_51-ust_2" w:history="1">
        <w:r w:rsidRPr="00D42E0E">
          <w:rPr>
            <w:rFonts w:ascii="Arial" w:eastAsia="Times New Roman" w:hAnsi="Arial" w:cs="Arial"/>
            <w:i/>
            <w:iCs/>
            <w:color w:val="E77914"/>
            <w:sz w:val="24"/>
            <w:szCs w:val="24"/>
            <w:u w:val="single"/>
            <w:lang w:eastAsia="pl-PL"/>
          </w:rPr>
          <w:t xml:space="preserve">art. 51 ust. 2 </w:t>
        </w:r>
        <w:proofErr w:type="spellStart"/>
        <w:r w:rsidRPr="00D42E0E">
          <w:rPr>
            <w:rFonts w:ascii="Arial" w:eastAsia="Times New Roman" w:hAnsi="Arial" w:cs="Arial"/>
            <w:i/>
            <w:iCs/>
            <w:color w:val="E77914"/>
            <w:sz w:val="24"/>
            <w:szCs w:val="24"/>
            <w:u w:val="single"/>
            <w:lang w:eastAsia="pl-PL"/>
          </w:rPr>
          <w:t>Pzp</w:t>
        </w:r>
        <w:proofErr w:type="spellEnd"/>
      </w:hyperlink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> obiektywne i niedyskryminacyjne kryteria pozwalające ograniczyć liczbę wykonawców kwalifikujących się do kolejnego etapu postępowania (wyłącznie w postępowaniach wieloetapowych)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Część V: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„Ograniczanie liczby kwalifikujących się kandydatów”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oraz Część VI: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”Oświadczenia końcowe”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Również te części nie są udostępnione do edycji zamawiającemu.</w:t>
      </w:r>
    </w:p>
    <w:p w:rsidR="00D42E0E" w:rsidRPr="00D42E0E" w:rsidRDefault="00D42E0E" w:rsidP="00D42E0E">
      <w:pPr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Sekcja "Zakończenie" w Części VI,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Umożliwia zamawiającemu pobranie przygotowanego JEDZ jako plik typu XML </w:t>
      </w:r>
      <w:proofErr w:type="spellStart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Document</w:t>
      </w:r>
      <w:proofErr w:type="spellEnd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zapisanie go na komputerze lub wydrukowanie go.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Zapisany plik XML (domyślna nazwa „</w:t>
      </w:r>
      <w:proofErr w:type="spellStart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espd-request</w:t>
      </w:r>
      <w:proofErr w:type="spellEnd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”, którą można oczywiście dowolnie zmienić np. opatrując znakiem sprawy prowadzonego postępowania) należy następnie przekazać wykonawcom w postaci elektronicznej, w zależności od trybu, jako załącznik do SIWZ / ogłoszenia lub zaproszenia do udziału w postępowaniu.</w:t>
      </w:r>
    </w:p>
    <w:p w:rsidR="00D42E0E" w:rsidRPr="00D42E0E" w:rsidRDefault="00D42E0E" w:rsidP="00D42E0E">
      <w:pPr>
        <w:shd w:val="clear" w:color="auto" w:fill="FFFFFF"/>
        <w:spacing w:line="360" w:lineRule="atLeast"/>
        <w:jc w:val="both"/>
        <w:textAlignment w:val="top"/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t xml:space="preserve">Zasadnym wydaje się zawarcie w dokumentach zamówienia instrukcji dla wykonawców dotyczącej wypełniania oraz używania takiego pliku – można w tym </w:t>
      </w:r>
      <w:r w:rsidRPr="00D42E0E">
        <w:rPr>
          <w:rFonts w:ascii="Arial" w:eastAsia="Times New Roman" w:hAnsi="Arial" w:cs="Arial"/>
          <w:i/>
          <w:iCs/>
          <w:color w:val="666666"/>
          <w:sz w:val="24"/>
          <w:szCs w:val="24"/>
          <w:lang w:eastAsia="pl-PL"/>
        </w:rPr>
        <w:lastRenderedPageBreak/>
        <w:t>celu posiłkować się poradami dla Wykonawców jakie zostaną zaprezentowane w kolejnym wpisie.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Plik taki, </w:t>
      </w:r>
      <w:r w:rsidRPr="00D42E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może być również wykorzystywany przez zamawiającego do przygotowywania jednolitego dokumentu do kolejnych postępowań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w tym celu, po jego zapisaniu należy na stronie głównej Serwisu, skorzystać z opcji </w:t>
      </w:r>
      <w:r w:rsidRPr="00D42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ponownie wykorzystaj istniejący ESPD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 wczytaniu pliku, można go dowolnie edytować i dostosować do nowego postępowania.</w:t>
      </w:r>
    </w:p>
    <w:p w:rsidR="00D42E0E" w:rsidRPr="00D42E0E" w:rsidRDefault="00D42E0E" w:rsidP="00D42E0E">
      <w:pPr>
        <w:pBdr>
          <w:bottom w:val="single" w:sz="6" w:space="8" w:color="EEEEEE"/>
        </w:pBdr>
        <w:spacing w:after="0" w:line="360" w:lineRule="atLeast"/>
        <w:textAlignment w:val="top"/>
        <w:outlineLvl w:val="1"/>
        <w:rPr>
          <w:rFonts w:ascii="Arial" w:eastAsia="Times New Roman" w:hAnsi="Arial" w:cs="Arial"/>
          <w:color w:val="000000"/>
          <w:sz w:val="33"/>
          <w:szCs w:val="33"/>
          <w:lang w:eastAsia="pl-PL"/>
        </w:rPr>
      </w:pPr>
      <w:r w:rsidRPr="00D42E0E">
        <w:rPr>
          <w:rFonts w:ascii="Arial" w:eastAsia="Times New Roman" w:hAnsi="Arial" w:cs="Arial"/>
          <w:color w:val="000000"/>
          <w:sz w:val="33"/>
          <w:szCs w:val="33"/>
          <w:lang w:eastAsia="pl-PL"/>
        </w:rPr>
        <w:t>Autor</w:t>
      </w:r>
    </w:p>
    <w:p w:rsidR="00D42E0E" w:rsidRPr="00D42E0E" w:rsidRDefault="00D42E0E" w:rsidP="00D42E0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Marcin Kalmus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Konsultant </w:t>
      </w:r>
      <w:proofErr w:type="spellStart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ds</w:t>
      </w:r>
      <w:proofErr w:type="spellEnd"/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zamówień publicznych w </w:t>
      </w:r>
      <w:hyperlink r:id="rId20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SzuKIO.pl</w:t>
        </w:r>
      </w:hyperlink>
    </w:p>
    <w:p w:rsidR="00D42E0E" w:rsidRPr="00D42E0E" w:rsidRDefault="00D42E0E" w:rsidP="00D42E0E">
      <w:pPr>
        <w:shd w:val="clear" w:color="auto" w:fill="FFFFFF"/>
        <w:spacing w:after="0" w:line="720" w:lineRule="atLeast"/>
        <w:textAlignment w:val="top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</w:pPr>
      <w:r w:rsidRPr="00D42E0E"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  <w:t>Dyskusja: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(anonim)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2016.11.09 20:29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Zastanawiam się w którym miejscu mam "umiejscowić" kryteria kwalifikacji (warunek) przychodu netto - nie obrotu - i jak mam to wpisać ;)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Marcin Kalmus SzuKIO.pl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2016.11.18 09:05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Taki warunek winien zostać umiejscowiony w Części IV lit. B Jedz, w sekcji "inne wymogi ekonomiczne lub finansowe". Zamawiający nie opisuje w Jedz warunku (one są opisane w dokumentach zamówienia [SIWZ/ogłoszenie], natomiast wykonawca tworząc Jedz musi opisać w ww. sekcji jak dany warunek spełnia)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(anonim)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2017.01.14 12:23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Dzięki Kolego ;)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Marcin Kalmus SzuKIO.pl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2017.01.19 09:56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Bardzo proszę ;)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(anonim)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2018.06.06 12:43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Dzień dobry!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Jak wypełnić Część VI: Oświadczenia końcowe dokumentu JEDZ poprzez ESPD? Nie ma tam możliwości edycji.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A należy tam: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"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referencyjny)]"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Pozdrawiam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Joanna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textAlignment w:val="top"/>
        <w:outlineLvl w:val="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Marcin Kalmus SzuKIO.pl </w:t>
      </w:r>
      <w:r w:rsidRPr="00D42E0E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2018.06.06 13:52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Dzień dobry, </w:t>
      </w: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obecnej wersji ESPD wskazane pola faktycznie nie są przeznaczone do edycji. Błąd ten został już zgłoszony (https://github.com/ESPD/ESPD-Service/issues) i oczekuje na rozwiązanie. </w:t>
      </w:r>
    </w:p>
    <w:p w:rsidR="00D42E0E" w:rsidRPr="00D42E0E" w:rsidRDefault="00D42E0E" w:rsidP="00D42E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2E0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42E0E" w:rsidRPr="00D42E0E" w:rsidRDefault="00D42E0E" w:rsidP="00D42E0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Anonim. </w:t>
      </w:r>
      <w:hyperlink r:id="rId21" w:history="1">
        <w:r w:rsidRPr="00D42E0E">
          <w:rPr>
            <w:rFonts w:ascii="Arial" w:eastAsia="Times New Roman" w:hAnsi="Arial" w:cs="Arial"/>
            <w:color w:val="E77914"/>
            <w:sz w:val="24"/>
            <w:szCs w:val="24"/>
            <w:u w:val="single"/>
            <w:lang w:eastAsia="pl-PL"/>
          </w:rPr>
          <w:t>Zaloguj się</w:t>
        </w:r>
      </w:hyperlink>
      <w:r w:rsidRPr="00D42E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aby się podpisać.</w:t>
      </w:r>
    </w:p>
    <w:p w:rsidR="00D42E0E" w:rsidRPr="00D42E0E" w:rsidRDefault="00D42E0E" w:rsidP="00D42E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2E0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120B3" w:rsidRDefault="004120B3">
      <w:bookmarkStart w:id="0" w:name="_GoBack"/>
      <w:bookmarkEnd w:id="0"/>
    </w:p>
    <w:sectPr w:rsidR="0041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9A4"/>
    <w:multiLevelType w:val="multilevel"/>
    <w:tmpl w:val="FC6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628EE"/>
    <w:multiLevelType w:val="multilevel"/>
    <w:tmpl w:val="BA7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0E"/>
    <w:rsid w:val="004120B3"/>
    <w:rsid w:val="00D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18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598">
              <w:blockQuote w:val="1"/>
              <w:marLeft w:val="720"/>
              <w:marRight w:val="720"/>
              <w:marTop w:val="360"/>
              <w:marBottom w:val="360"/>
              <w:divBdr>
                <w:top w:val="single" w:sz="6" w:space="17" w:color="EEEEEE"/>
                <w:left w:val="single" w:sz="18" w:space="15" w:color="EEEEEE"/>
                <w:bottom w:val="single" w:sz="6" w:space="17" w:color="EEEEEE"/>
                <w:right w:val="single" w:sz="6" w:space="15" w:color="EEEEEE"/>
              </w:divBdr>
            </w:div>
            <w:div w:id="260913037">
              <w:blockQuote w:val="1"/>
              <w:marLeft w:val="720"/>
              <w:marRight w:val="720"/>
              <w:marTop w:val="360"/>
              <w:marBottom w:val="360"/>
              <w:divBdr>
                <w:top w:val="single" w:sz="6" w:space="17" w:color="EEEEEE"/>
                <w:left w:val="single" w:sz="18" w:space="15" w:color="EEEEEE"/>
                <w:bottom w:val="single" w:sz="6" w:space="17" w:color="EEEEEE"/>
                <w:right w:val="single" w:sz="6" w:space="15" w:color="EEEEEE"/>
              </w:divBdr>
            </w:div>
            <w:div w:id="806628837">
              <w:blockQuote w:val="1"/>
              <w:marLeft w:val="720"/>
              <w:marRight w:val="720"/>
              <w:marTop w:val="360"/>
              <w:marBottom w:val="360"/>
              <w:divBdr>
                <w:top w:val="single" w:sz="6" w:space="17" w:color="EEEEEE"/>
                <w:left w:val="single" w:sz="18" w:space="15" w:color="EEEEEE"/>
                <w:bottom w:val="single" w:sz="6" w:space="17" w:color="EEEEEE"/>
                <w:right w:val="single" w:sz="6" w:space="15" w:color="EEEEEE"/>
              </w:divBdr>
            </w:div>
            <w:div w:id="114905676">
              <w:blockQuote w:val="1"/>
              <w:marLeft w:val="720"/>
              <w:marRight w:val="720"/>
              <w:marTop w:val="360"/>
              <w:marBottom w:val="360"/>
              <w:divBdr>
                <w:top w:val="single" w:sz="6" w:space="17" w:color="EEEEEE"/>
                <w:left w:val="single" w:sz="18" w:space="15" w:color="EEEEEE"/>
                <w:bottom w:val="single" w:sz="6" w:space="17" w:color="EEEEEE"/>
                <w:right w:val="single" w:sz="6" w:space="15" w:color="EEEEEE"/>
              </w:divBdr>
            </w:div>
            <w:div w:id="1445269132">
              <w:blockQuote w:val="1"/>
              <w:marLeft w:val="720"/>
              <w:marRight w:val="720"/>
              <w:marTop w:val="360"/>
              <w:marBottom w:val="360"/>
              <w:divBdr>
                <w:top w:val="single" w:sz="6" w:space="17" w:color="EEEEEE"/>
                <w:left w:val="single" w:sz="18" w:space="15" w:color="EEEEEE"/>
                <w:bottom w:val="single" w:sz="6" w:space="17" w:color="EEEEEE"/>
                <w:right w:val="single" w:sz="6" w:space="15" w:color="EEEEEE"/>
              </w:divBdr>
            </w:div>
          </w:divsChild>
        </w:div>
        <w:div w:id="24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kio.pl/blog/marcin-kalmus/poradnik-jedz-2016-08-29" TargetMode="External"/><Relationship Id="rId13" Type="http://schemas.openxmlformats.org/officeDocument/2006/relationships/hyperlink" Target="http://prawo.szukio.pl/prawo-zamowien-publicznych" TargetMode="External"/><Relationship Id="rId18" Type="http://schemas.openxmlformats.org/officeDocument/2006/relationships/hyperlink" Target="http://prawo.szukio.pl/prawo-zamowien-publiczny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zukio.pl/logowanie" TargetMode="External"/><Relationship Id="rId7" Type="http://schemas.openxmlformats.org/officeDocument/2006/relationships/hyperlink" Target="https://szukio.pl/blog/marcin-kalmus/poradnik-jedz-2016-09-05" TargetMode="External"/><Relationship Id="rId12" Type="http://schemas.openxmlformats.org/officeDocument/2006/relationships/hyperlink" Target="http://eur-lex.europa.eu/legal-content/PL/TXT/HTML/?uri=CELEX:32014L0024&amp;rid=35" TargetMode="External"/><Relationship Id="rId17" Type="http://schemas.openxmlformats.org/officeDocument/2006/relationships/hyperlink" Target="http://prawo.szukio.pl/prawo-zamowien-publicznych/art_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wo.szukio.pl/prawo-zamowien-publicznych" TargetMode="External"/><Relationship Id="rId20" Type="http://schemas.openxmlformats.org/officeDocument/2006/relationships/hyperlink" Target="https://szukio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zukio.pl/blog/marcin-kalmus" TargetMode="External"/><Relationship Id="rId11" Type="http://schemas.openxmlformats.org/officeDocument/2006/relationships/hyperlink" Target="https://szukio.pl/blog/marcin-kalmus/nieprawidlowe-formularze-ogloszen-w-ted-2016-07-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szukio.pl/prawo-zamowien-publiczny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map.europa.eu/enotices/changeLanguage.do?language=PL" TargetMode="External"/><Relationship Id="rId19" Type="http://schemas.openxmlformats.org/officeDocument/2006/relationships/hyperlink" Target="https://szukio.pl/blog/Marcin.Kal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espd/filter?lang=pl" TargetMode="External"/><Relationship Id="rId14" Type="http://schemas.openxmlformats.org/officeDocument/2006/relationships/hyperlink" Target="http://prawo.szukio.pl/prawo-zamowien-publiczny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Irena Piotrowicz</cp:lastModifiedBy>
  <cp:revision>1</cp:revision>
  <cp:lastPrinted>2018-07-02T06:55:00Z</cp:lastPrinted>
  <dcterms:created xsi:type="dcterms:W3CDTF">2018-07-02T06:54:00Z</dcterms:created>
  <dcterms:modified xsi:type="dcterms:W3CDTF">2018-07-02T06:56:00Z</dcterms:modified>
</cp:coreProperties>
</file>