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637D0FAC"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074194">
        <w:rPr>
          <w:sz w:val="22"/>
          <w:szCs w:val="22"/>
        </w:rPr>
        <w:t>3</w:t>
      </w:r>
      <w:r w:rsidR="00F739B4" w:rsidRPr="005D4210">
        <w:rPr>
          <w:sz w:val="22"/>
          <w:szCs w:val="22"/>
        </w:rPr>
        <w:t xml:space="preserve"> r. poz. </w:t>
      </w:r>
      <w:r w:rsidR="00CB66D9">
        <w:rPr>
          <w:sz w:val="22"/>
          <w:szCs w:val="22"/>
        </w:rPr>
        <w:t>1605</w:t>
      </w:r>
      <w:r w:rsidR="00291486">
        <w:rPr>
          <w:sz w:val="22"/>
          <w:szCs w:val="22"/>
        </w:rPr>
        <w:t xml:space="preserve"> z</w:t>
      </w:r>
      <w:r w:rsidR="00F747BD">
        <w:rPr>
          <w:sz w:val="22"/>
          <w:szCs w:val="22"/>
        </w:rPr>
        <w:t xml:space="preserve">e </w:t>
      </w:r>
      <w:r w:rsidR="00291486">
        <w:rPr>
          <w:sz w:val="22"/>
          <w:szCs w:val="22"/>
        </w:rPr>
        <w:t>zm.</w:t>
      </w:r>
      <w:r w:rsidR="006204E8" w:rsidRPr="005D4210">
        <w:rPr>
          <w:sz w:val="22"/>
          <w:szCs w:val="22"/>
        </w:rPr>
        <w:t xml:space="preserve">) – dalej </w:t>
      </w:r>
      <w:proofErr w:type="spellStart"/>
      <w:r w:rsidR="00A93CE0" w:rsidRPr="005D4210">
        <w:rPr>
          <w:sz w:val="22"/>
          <w:szCs w:val="22"/>
        </w:rPr>
        <w:t>Pzp</w:t>
      </w:r>
      <w:proofErr w:type="spellEnd"/>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73FB9E2E" w:rsidR="0048491B" w:rsidRPr="00AC35B5" w:rsidRDefault="0048491B" w:rsidP="00AC35B5">
      <w:pPr>
        <w:spacing w:line="360" w:lineRule="auto"/>
        <w:jc w:val="center"/>
        <w:rPr>
          <w:b/>
        </w:rPr>
      </w:pPr>
      <w:r w:rsidRPr="00AC35B5">
        <w:rPr>
          <w:b/>
        </w:rPr>
        <w:t>„</w:t>
      </w:r>
      <w:r w:rsidR="00C135BA">
        <w:rPr>
          <w:b/>
        </w:rPr>
        <w:t xml:space="preserve">Dostawa </w:t>
      </w:r>
      <w:r w:rsidR="00CB66D9">
        <w:rPr>
          <w:b/>
        </w:rPr>
        <w:t>aparatury badawczej</w:t>
      </w:r>
      <w:r w:rsidR="00D128F9">
        <w:rPr>
          <w:b/>
        </w:rPr>
        <w:t xml:space="preserve"> - c</w:t>
      </w:r>
      <w:r w:rsidR="00D128F9" w:rsidRPr="00D128F9">
        <w:rPr>
          <w:b/>
        </w:rPr>
        <w:t xml:space="preserve">zytnik </w:t>
      </w:r>
      <w:r w:rsidR="00D128F9">
        <w:rPr>
          <w:b/>
        </w:rPr>
        <w:t>OSL</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1C452DFA" w14:textId="2ABDB2A0" w:rsidR="007F5CB8" w:rsidRPr="004D349D" w:rsidRDefault="004D349D" w:rsidP="004D349D">
      <w:pPr>
        <w:tabs>
          <w:tab w:val="center" w:pos="4536"/>
          <w:tab w:val="left" w:pos="6945"/>
        </w:tabs>
        <w:spacing w:before="240" w:after="240" w:line="276" w:lineRule="auto"/>
        <w:jc w:val="center"/>
        <w:rPr>
          <w:b/>
          <w:sz w:val="22"/>
          <w:szCs w:val="22"/>
        </w:rPr>
      </w:pPr>
      <w:hyperlink r:id="rId9" w:history="1">
        <w:r w:rsidRPr="004D349D">
          <w:rPr>
            <w:rStyle w:val="Hipercze"/>
            <w:color w:val="337AB7"/>
            <w:sz w:val="22"/>
            <w:szCs w:val="22"/>
            <w:shd w:val="clear" w:color="auto" w:fill="FFFFFF"/>
          </w:rPr>
          <w:t>https://platformazakupowa.pl/transakcja/919085</w:t>
        </w:r>
      </w:hyperlink>
    </w:p>
    <w:p w14:paraId="4AAE7763" w14:textId="77777777" w:rsidR="007F5CB8" w:rsidRDefault="007F5CB8" w:rsidP="00A47E18">
      <w:pPr>
        <w:tabs>
          <w:tab w:val="center" w:pos="4536"/>
          <w:tab w:val="left" w:pos="6945"/>
        </w:tabs>
        <w:spacing w:before="240" w:after="240" w:line="276" w:lineRule="auto"/>
        <w:rPr>
          <w:b/>
          <w:sz w:val="22"/>
          <w:szCs w:val="22"/>
        </w:rPr>
      </w:pPr>
    </w:p>
    <w:p w14:paraId="41AEF3BC" w14:textId="2501A1F2"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CB66D9">
        <w:rPr>
          <w:caps/>
          <w:sz w:val="22"/>
          <w:szCs w:val="22"/>
        </w:rPr>
        <w:t>12/2024</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41864AC2" w:rsidR="00310357" w:rsidRPr="00CB66D9"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293C44">
        <w:rPr>
          <w:sz w:val="22"/>
          <w:szCs w:val="22"/>
        </w:rPr>
        <w:t>23.04.2024r.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proofErr w:type="spellStart"/>
      <w:r w:rsidR="00C76CF2" w:rsidRPr="005D4210">
        <w:rPr>
          <w:sz w:val="22"/>
          <w:szCs w:val="22"/>
        </w:rPr>
        <w:t>Pzp</w:t>
      </w:r>
      <w:proofErr w:type="spellEnd"/>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proofErr w:type="spellStart"/>
      <w:r w:rsidR="00C76CF2" w:rsidRPr="005D4210">
        <w:rPr>
          <w:sz w:val="22"/>
          <w:szCs w:val="22"/>
        </w:rPr>
        <w:t>Pzp</w:t>
      </w:r>
      <w:proofErr w:type="spellEnd"/>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proofErr w:type="spellStart"/>
      <w:r w:rsidR="00E31F3B" w:rsidRPr="005D4210">
        <w:rPr>
          <w:sz w:val="22"/>
          <w:szCs w:val="22"/>
        </w:rPr>
        <w:t>Pzp</w:t>
      </w:r>
      <w:proofErr w:type="spellEnd"/>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proofErr w:type="spellStart"/>
      <w:r w:rsidR="00E31F3B" w:rsidRPr="005D4210">
        <w:rPr>
          <w:sz w:val="22"/>
          <w:szCs w:val="22"/>
        </w:rPr>
        <w:t>Pzp</w:t>
      </w:r>
      <w:proofErr w:type="spellEnd"/>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w:t>
      </w:r>
      <w:proofErr w:type="spellStart"/>
      <w:r w:rsidR="00E31F3B" w:rsidRPr="005D4210">
        <w:rPr>
          <w:sz w:val="22"/>
          <w:szCs w:val="22"/>
        </w:rPr>
        <w:t>Pzp</w:t>
      </w:r>
      <w:proofErr w:type="spellEnd"/>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5C4A096C"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 xml:space="preserve">dostawa </w:t>
      </w:r>
      <w:r w:rsidR="00CB66D9">
        <w:rPr>
          <w:sz w:val="22"/>
          <w:szCs w:val="22"/>
        </w:rPr>
        <w:t>aparatury badawczej</w:t>
      </w:r>
      <w:r w:rsidR="009B7B19">
        <w:rPr>
          <w:sz w:val="22"/>
          <w:szCs w:val="22"/>
        </w:rPr>
        <w:t>, tj. c</w:t>
      </w:r>
      <w:r w:rsidR="009B7B19" w:rsidRPr="009B7B19">
        <w:rPr>
          <w:sz w:val="22"/>
          <w:szCs w:val="22"/>
        </w:rPr>
        <w:t>zytnik</w:t>
      </w:r>
      <w:r w:rsidR="00464992">
        <w:rPr>
          <w:sz w:val="22"/>
          <w:szCs w:val="22"/>
        </w:rPr>
        <w:t>a</w:t>
      </w:r>
      <w:r w:rsidR="009B7B19" w:rsidRPr="009B7B19">
        <w:rPr>
          <w:sz w:val="22"/>
          <w:szCs w:val="22"/>
        </w:rPr>
        <w:t xml:space="preserve"> </w:t>
      </w:r>
      <w:r w:rsidR="00464992">
        <w:rPr>
          <w:sz w:val="22"/>
          <w:szCs w:val="22"/>
        </w:rPr>
        <w:t>OSL</w:t>
      </w:r>
      <w:r w:rsidR="009B7B19" w:rsidRPr="009B7B19">
        <w:rPr>
          <w:sz w:val="22"/>
          <w:szCs w:val="22"/>
        </w:rPr>
        <w:t xml:space="preserve">- część </w:t>
      </w:r>
      <w:proofErr w:type="spellStart"/>
      <w:r w:rsidR="009B7B19" w:rsidRPr="009B7B19">
        <w:rPr>
          <w:sz w:val="22"/>
          <w:szCs w:val="22"/>
        </w:rPr>
        <w:t>optomechaniczna</w:t>
      </w:r>
      <w:proofErr w:type="spellEnd"/>
      <w:r w:rsidR="009B7B19" w:rsidRPr="009B7B19">
        <w:rPr>
          <w:sz w:val="22"/>
          <w:szCs w:val="22"/>
        </w:rPr>
        <w:t xml:space="preserve"> z obudową</w:t>
      </w:r>
      <w:r w:rsidR="009B7B19">
        <w:rPr>
          <w:sz w:val="22"/>
          <w:szCs w:val="22"/>
        </w:rPr>
        <w:t>,</w:t>
      </w:r>
      <w:r w:rsidR="009B7B19" w:rsidRPr="009B7B19">
        <w:rPr>
          <w:sz w:val="22"/>
          <w:szCs w:val="22"/>
        </w:rPr>
        <w:t xml:space="preserve"> </w:t>
      </w:r>
      <w:r w:rsidR="00F05FD4">
        <w:rPr>
          <w:sz w:val="22"/>
          <w:szCs w:val="22"/>
        </w:rPr>
        <w:t xml:space="preserve"> szczegółowo</w:t>
      </w:r>
      <w:r w:rsidRPr="008C004B">
        <w:rPr>
          <w:sz w:val="22"/>
          <w:szCs w:val="22"/>
        </w:rPr>
        <w:t xml:space="preserve"> określona w załączniku nr </w:t>
      </w:r>
      <w:r w:rsidR="006A5CD1">
        <w:rPr>
          <w:sz w:val="22"/>
          <w:szCs w:val="22"/>
        </w:rPr>
        <w:t>3</w:t>
      </w:r>
      <w:r w:rsidRPr="008C004B">
        <w:rPr>
          <w:sz w:val="22"/>
          <w:szCs w:val="22"/>
        </w:rPr>
        <w:t xml:space="preserve"> do SWZ (formularz przedmiotowo - cenowy) oraz w warunkach projektu umowy przedstawionego w załączniku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088965CB" w14:textId="3D08DAF6" w:rsidR="00C135BA" w:rsidRPr="0084192D" w:rsidRDefault="00216D68" w:rsidP="002C6C3B">
      <w:pPr>
        <w:pStyle w:val="Tekstpodstawowy"/>
        <w:spacing w:line="276" w:lineRule="auto"/>
        <w:ind w:left="426"/>
        <w:rPr>
          <w:rFonts w:ascii="Times New Roman" w:hAnsi="Times New Roman"/>
          <w:bCs/>
          <w:color w:val="000000"/>
          <w:szCs w:val="22"/>
        </w:rPr>
      </w:pPr>
      <w:r>
        <w:rPr>
          <w:rFonts w:ascii="Times New Roman" w:hAnsi="Times New Roman"/>
          <w:bCs/>
          <w:color w:val="000000"/>
          <w:szCs w:val="22"/>
        </w:rPr>
        <w:t>38540000-2</w:t>
      </w:r>
      <w:r w:rsidR="00C135BA" w:rsidRPr="0084192D">
        <w:rPr>
          <w:rFonts w:ascii="Times New Roman" w:hAnsi="Times New Roman"/>
          <w:bCs/>
          <w:color w:val="000000"/>
          <w:szCs w:val="22"/>
        </w:rPr>
        <w:t xml:space="preserve"> –</w:t>
      </w:r>
      <w:r>
        <w:rPr>
          <w:rFonts w:ascii="Times New Roman" w:hAnsi="Times New Roman"/>
          <w:bCs/>
          <w:color w:val="000000"/>
          <w:szCs w:val="22"/>
        </w:rPr>
        <w:t xml:space="preserve"> Maszyny i aparatura badawcza i pomiarowa</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3C36EC2" w14:textId="1FEC8392" w:rsidR="009E7059" w:rsidRPr="00EA22B1" w:rsidRDefault="00C135BA" w:rsidP="006D45F5">
      <w:pPr>
        <w:pStyle w:val="Tekstpodstawowy31"/>
        <w:numPr>
          <w:ilvl w:val="0"/>
          <w:numId w:val="45"/>
        </w:numPr>
        <w:spacing w:line="276" w:lineRule="auto"/>
        <w:ind w:left="284" w:right="-1" w:hanging="284"/>
        <w:rPr>
          <w:sz w:val="22"/>
          <w:szCs w:val="22"/>
        </w:rPr>
      </w:pPr>
      <w:r w:rsidRPr="009E7059">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r w:rsidR="009E7059" w:rsidRPr="009E7059">
        <w:rPr>
          <w:bCs/>
          <w:sz w:val="22"/>
          <w:szCs w:val="22"/>
          <w:shd w:val="clear" w:color="auto" w:fill="FFFFFF"/>
        </w:rPr>
        <w:t xml:space="preserve"> </w:t>
      </w:r>
    </w:p>
    <w:p w14:paraId="4F80478A" w14:textId="77777777" w:rsidR="00EA22B1" w:rsidRPr="009E7059" w:rsidRDefault="00EA22B1" w:rsidP="00EA22B1">
      <w:pPr>
        <w:pStyle w:val="Tekstpodstawowy31"/>
        <w:spacing w:line="276" w:lineRule="auto"/>
        <w:ind w:left="284" w:right="-1"/>
        <w:rPr>
          <w:sz w:val="22"/>
          <w:szCs w:val="22"/>
        </w:rPr>
      </w:pPr>
    </w:p>
    <w:p w14:paraId="71B39D5A" w14:textId="31596F11" w:rsidR="00EA22B1" w:rsidRPr="00DF2D0E" w:rsidRDefault="00EA22B1" w:rsidP="00EA22B1">
      <w:pPr>
        <w:numPr>
          <w:ilvl w:val="0"/>
          <w:numId w:val="45"/>
        </w:numPr>
        <w:spacing w:line="360" w:lineRule="auto"/>
        <w:ind w:left="284"/>
        <w:rPr>
          <w:sz w:val="22"/>
          <w:szCs w:val="22"/>
        </w:rPr>
      </w:pPr>
      <w:r w:rsidRPr="00DF2D0E">
        <w:rPr>
          <w:sz w:val="22"/>
          <w:szCs w:val="22"/>
        </w:rPr>
        <w:t>Zamawiający</w:t>
      </w:r>
      <w:r w:rsidR="00CB66D9">
        <w:rPr>
          <w:sz w:val="22"/>
          <w:szCs w:val="22"/>
        </w:rPr>
        <w:t xml:space="preserve"> </w:t>
      </w:r>
      <w:r w:rsidR="00CB66D9" w:rsidRPr="00CB66D9">
        <w:rPr>
          <w:b/>
          <w:bCs/>
          <w:sz w:val="22"/>
          <w:szCs w:val="22"/>
        </w:rPr>
        <w:t>nie</w:t>
      </w:r>
      <w:r w:rsidR="00CB66D9">
        <w:rPr>
          <w:sz w:val="22"/>
          <w:szCs w:val="22"/>
        </w:rPr>
        <w:t xml:space="preserve"> </w:t>
      </w:r>
      <w:r w:rsidRPr="00DF2D0E">
        <w:rPr>
          <w:sz w:val="22"/>
          <w:szCs w:val="22"/>
        </w:rPr>
        <w:t xml:space="preserve">podzielił postępowanie </w:t>
      </w:r>
      <w:r w:rsidRPr="00CB66D9">
        <w:rPr>
          <w:sz w:val="22"/>
          <w:szCs w:val="22"/>
        </w:rPr>
        <w:t>na części</w:t>
      </w:r>
      <w:r w:rsidR="00CB66D9">
        <w:rPr>
          <w:sz w:val="22"/>
          <w:szCs w:val="22"/>
        </w:rPr>
        <w:t>.</w:t>
      </w:r>
    </w:p>
    <w:p w14:paraId="561D353A" w14:textId="77777777" w:rsidR="00CB66D9" w:rsidRPr="00CB66D9" w:rsidRDefault="00CB66D9" w:rsidP="00CB66D9">
      <w:pPr>
        <w:pStyle w:val="Akapitzlist"/>
        <w:spacing w:line="360" w:lineRule="auto"/>
        <w:ind w:left="284"/>
        <w:jc w:val="both"/>
        <w:rPr>
          <w:sz w:val="22"/>
          <w:szCs w:val="22"/>
        </w:rPr>
      </w:pPr>
      <w:r w:rsidRPr="00CB66D9">
        <w:rPr>
          <w:sz w:val="22"/>
          <w:szCs w:val="22"/>
        </w:rPr>
        <w:t xml:space="preserve">Zamawiający </w:t>
      </w:r>
      <w:r w:rsidRPr="00CB66D9">
        <w:rPr>
          <w:b/>
          <w:bCs/>
          <w:sz w:val="22"/>
          <w:szCs w:val="22"/>
        </w:rPr>
        <w:t>nie dopuszcza</w:t>
      </w:r>
      <w:r w:rsidRPr="00CB66D9">
        <w:rPr>
          <w:sz w:val="22"/>
          <w:szCs w:val="22"/>
        </w:rPr>
        <w:t xml:space="preserve"> składania ofert częściowych. Podział zamówienia na mniejsze części byłby nieracjonalny ekonomicznie i mógłby spowodować niekorzystne skutki dla Zamawiającego w postaci zwiększenia oferowanych cen cząstkowych. Ponadto podział zamówienia na części spowodowałby nadmierne trudności w koordynacji działań różnych wykonawców realizujących poszczególne części zamówienia co docelowo mogłoby zagrozić właściwemu wykonaniu zamówienia</w:t>
      </w:r>
      <w:r w:rsidRPr="00CB66D9">
        <w:rPr>
          <w:rFonts w:cs="Calibri"/>
          <w:b/>
        </w:rPr>
        <w:t>.</w:t>
      </w:r>
      <w:r w:rsidRPr="00CB66D9">
        <w:rPr>
          <w:sz w:val="22"/>
          <w:szCs w:val="22"/>
        </w:rPr>
        <w:t xml:space="preserve"> Brak podziału na części nie utrudnia, ani nie ogranicza dostępu do zamówienia dla wykonawców z sektora MŚP</w:t>
      </w:r>
    </w:p>
    <w:p w14:paraId="36872EE5" w14:textId="77777777" w:rsidR="00A704B1" w:rsidRDefault="00A704B1" w:rsidP="00EA22B1">
      <w:pPr>
        <w:spacing w:line="360" w:lineRule="auto"/>
        <w:ind w:left="284"/>
        <w:rPr>
          <w:b/>
          <w:bCs/>
          <w:sz w:val="22"/>
          <w:szCs w:val="22"/>
        </w:rPr>
      </w:pPr>
    </w:p>
    <w:p w14:paraId="73335723" w14:textId="77777777" w:rsidR="00EA22B1" w:rsidRPr="00DF2D0E" w:rsidRDefault="00EA22B1" w:rsidP="00EA22B1">
      <w:pPr>
        <w:numPr>
          <w:ilvl w:val="0"/>
          <w:numId w:val="45"/>
        </w:numPr>
        <w:spacing w:line="360" w:lineRule="auto"/>
        <w:ind w:left="284"/>
        <w:rPr>
          <w:sz w:val="22"/>
          <w:szCs w:val="22"/>
        </w:rPr>
      </w:pPr>
      <w:r w:rsidRPr="00DF2D0E">
        <w:rPr>
          <w:sz w:val="22"/>
          <w:szCs w:val="22"/>
        </w:rPr>
        <w:t xml:space="preserve">Zamawiający </w:t>
      </w:r>
      <w:r w:rsidRPr="00376BA9">
        <w:rPr>
          <w:b/>
          <w:bCs/>
          <w:sz w:val="22"/>
          <w:szCs w:val="22"/>
        </w:rPr>
        <w:t>dopuszcza</w:t>
      </w:r>
      <w:r w:rsidRPr="00DF2D0E">
        <w:rPr>
          <w:sz w:val="22"/>
          <w:szCs w:val="22"/>
        </w:rPr>
        <w:t xml:space="preserve"> możliwość składania ofert częściowych, z zastrzeżeniem, iż oferta w każdej części winna być pełna. Wykonawca może złożyć ofertę na dowolną, wybraną przez siebie ilość części.</w:t>
      </w:r>
    </w:p>
    <w:p w14:paraId="13A2D919" w14:textId="77777777" w:rsidR="00EA22B1" w:rsidRPr="00DF2D0E" w:rsidRDefault="00EA22B1" w:rsidP="00EA22B1">
      <w:pPr>
        <w:pStyle w:val="pkt"/>
        <w:numPr>
          <w:ilvl w:val="0"/>
          <w:numId w:val="45"/>
        </w:numPr>
        <w:spacing w:before="0" w:after="0" w:line="360" w:lineRule="auto"/>
        <w:ind w:left="284"/>
        <w:rPr>
          <w:sz w:val="22"/>
          <w:szCs w:val="22"/>
        </w:rPr>
      </w:pPr>
      <w:r w:rsidRPr="00DF2D0E">
        <w:rPr>
          <w:sz w:val="22"/>
          <w:szCs w:val="22"/>
        </w:rPr>
        <w:t xml:space="preserve">Zamawiający </w:t>
      </w:r>
      <w:r w:rsidRPr="00376BA9">
        <w:rPr>
          <w:b/>
          <w:bCs/>
          <w:sz w:val="22"/>
          <w:szCs w:val="22"/>
        </w:rPr>
        <w:t>nie</w:t>
      </w:r>
      <w:r w:rsidRPr="00DF2D0E">
        <w:rPr>
          <w:sz w:val="22"/>
          <w:szCs w:val="22"/>
        </w:rPr>
        <w:t xml:space="preserve"> dopuszcza składania ofert wariantowych oraz w postaci katalogów elektronicznych.</w:t>
      </w:r>
    </w:p>
    <w:p w14:paraId="696F3F77" w14:textId="77777777" w:rsidR="00EA22B1" w:rsidRPr="00DF2D0E" w:rsidRDefault="00EA22B1" w:rsidP="00EA22B1">
      <w:pPr>
        <w:pStyle w:val="Akapitzlist"/>
        <w:numPr>
          <w:ilvl w:val="0"/>
          <w:numId w:val="45"/>
        </w:numPr>
        <w:spacing w:line="360" w:lineRule="auto"/>
        <w:ind w:left="284"/>
        <w:jc w:val="both"/>
        <w:rPr>
          <w:sz w:val="22"/>
          <w:szCs w:val="22"/>
        </w:rPr>
      </w:pPr>
      <w:r w:rsidRPr="00DF2D0E">
        <w:rPr>
          <w:sz w:val="22"/>
          <w:szCs w:val="22"/>
        </w:rPr>
        <w:t xml:space="preserve">Zamawiający </w:t>
      </w:r>
      <w:r w:rsidRPr="00376BA9">
        <w:rPr>
          <w:b/>
          <w:bCs/>
          <w:sz w:val="22"/>
          <w:szCs w:val="22"/>
        </w:rPr>
        <w:t xml:space="preserve">nie </w:t>
      </w:r>
      <w:r w:rsidRPr="00DF2D0E">
        <w:rPr>
          <w:sz w:val="22"/>
          <w:szCs w:val="22"/>
        </w:rPr>
        <w:t>przewiduje udzielania zamówień, o których mowa w art. 214 ust. 1 pkt 7 i 8.</w:t>
      </w:r>
    </w:p>
    <w:p w14:paraId="583E89B0" w14:textId="77777777" w:rsidR="00EA22B1" w:rsidRPr="00EA22B1" w:rsidRDefault="00EA22B1" w:rsidP="00EA22B1">
      <w:pPr>
        <w:spacing w:line="276" w:lineRule="auto"/>
        <w:jc w:val="both"/>
        <w:rPr>
          <w:sz w:val="22"/>
          <w:szCs w:val="22"/>
        </w:rPr>
      </w:pP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2F32596B" w14:textId="2035F687" w:rsidR="00EA22B1" w:rsidRDefault="00B87B82" w:rsidP="009E7059">
      <w:pPr>
        <w:pStyle w:val="pkt"/>
        <w:spacing w:before="240" w:after="0" w:line="360" w:lineRule="auto"/>
        <w:ind w:left="0" w:firstLine="0"/>
        <w:rPr>
          <w:sz w:val="22"/>
          <w:szCs w:val="22"/>
        </w:rPr>
      </w:pPr>
      <w:r w:rsidRPr="00B87B82">
        <w:rPr>
          <w:sz w:val="22"/>
          <w:szCs w:val="22"/>
        </w:rPr>
        <w:t>Termin realizacji zamówienia wynosi</w:t>
      </w:r>
      <w:r w:rsidR="00EA22B1">
        <w:rPr>
          <w:sz w:val="22"/>
          <w:szCs w:val="22"/>
        </w:rPr>
        <w:t>:</w:t>
      </w:r>
      <w:r w:rsidR="00CB66D9">
        <w:rPr>
          <w:sz w:val="22"/>
          <w:szCs w:val="22"/>
        </w:rPr>
        <w:t xml:space="preserve"> </w:t>
      </w:r>
      <w:r w:rsidR="00CB66D9" w:rsidRPr="00CB66D9">
        <w:rPr>
          <w:b/>
          <w:bCs/>
          <w:sz w:val="22"/>
          <w:szCs w:val="22"/>
        </w:rPr>
        <w:t xml:space="preserve">do </w:t>
      </w:r>
      <w:r w:rsidR="0029428E">
        <w:rPr>
          <w:b/>
          <w:bCs/>
          <w:sz w:val="22"/>
          <w:szCs w:val="22"/>
        </w:rPr>
        <w:t>4</w:t>
      </w:r>
      <w:r w:rsidR="00CB66D9" w:rsidRPr="00CB66D9">
        <w:rPr>
          <w:b/>
          <w:bCs/>
          <w:sz w:val="22"/>
          <w:szCs w:val="22"/>
        </w:rPr>
        <w:t>0 dni</w:t>
      </w:r>
      <w:r w:rsidR="00CB66D9">
        <w:rPr>
          <w:sz w:val="22"/>
          <w:szCs w:val="22"/>
        </w:rPr>
        <w:t xml:space="preserve"> kalendarzowych od </w:t>
      </w:r>
      <w:r w:rsidR="00A67D0D" w:rsidRPr="009E7059">
        <w:rPr>
          <w:sz w:val="22"/>
          <w:szCs w:val="22"/>
        </w:rPr>
        <w:t>d</w:t>
      </w:r>
      <w:r w:rsidR="00EA22B1">
        <w:rPr>
          <w:sz w:val="22"/>
          <w:szCs w:val="22"/>
        </w:rPr>
        <w:t>aty</w:t>
      </w:r>
      <w:r w:rsidR="00A67D0D" w:rsidRPr="009E7059">
        <w:rPr>
          <w:sz w:val="22"/>
          <w:szCs w:val="22"/>
        </w:rPr>
        <w:t xml:space="preserve"> </w:t>
      </w:r>
      <w:r w:rsidR="00EA22B1">
        <w:rPr>
          <w:sz w:val="22"/>
          <w:szCs w:val="22"/>
        </w:rPr>
        <w:t>zawarcia umowy</w:t>
      </w:r>
      <w:r w:rsidR="0029428E">
        <w:rPr>
          <w:sz w:val="22"/>
          <w:szCs w:val="22"/>
        </w:rPr>
        <w:t>.</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lastRenderedPageBreak/>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19EBF982" w14:textId="77777777" w:rsidR="00F11653" w:rsidRPr="00F11653" w:rsidRDefault="00F11653" w:rsidP="00F11653">
      <w:pPr>
        <w:numPr>
          <w:ilvl w:val="0"/>
          <w:numId w:val="20"/>
        </w:numPr>
        <w:tabs>
          <w:tab w:val="clear" w:pos="1009"/>
        </w:tabs>
        <w:spacing w:before="240" w:line="360" w:lineRule="auto"/>
        <w:ind w:left="426" w:hanging="426"/>
        <w:jc w:val="both"/>
        <w:rPr>
          <w:sz w:val="22"/>
          <w:szCs w:val="22"/>
        </w:rPr>
      </w:pPr>
      <w:r w:rsidRPr="00F11653">
        <w:rPr>
          <w:sz w:val="22"/>
          <w:szCs w:val="22"/>
        </w:rPr>
        <w:tab/>
        <w:t>Z postępowania o udzielenie zamówienia wyklucza się Wykonawców:</w:t>
      </w:r>
    </w:p>
    <w:p w14:paraId="0CCFC247" w14:textId="77777777" w:rsidR="00F11653" w:rsidRPr="00F11653" w:rsidRDefault="00F11653" w:rsidP="00F11653">
      <w:pPr>
        <w:numPr>
          <w:ilvl w:val="0"/>
          <w:numId w:val="39"/>
        </w:numPr>
        <w:spacing w:before="240" w:line="360" w:lineRule="auto"/>
        <w:ind w:left="709"/>
        <w:jc w:val="both"/>
        <w:rPr>
          <w:sz w:val="22"/>
          <w:szCs w:val="22"/>
        </w:rPr>
      </w:pPr>
      <w:r w:rsidRPr="00F11653">
        <w:rPr>
          <w:sz w:val="22"/>
          <w:szCs w:val="22"/>
        </w:rPr>
        <w:t xml:space="preserve">w stosunku do których zachodzi którakolwiek z okoliczności wskazanych w art. 108 ust. 1 oraz art. 109  ust. 1 pkt. 4 </w:t>
      </w:r>
      <w:proofErr w:type="spellStart"/>
      <w:r w:rsidRPr="00F11653">
        <w:rPr>
          <w:sz w:val="22"/>
          <w:szCs w:val="22"/>
        </w:rPr>
        <w:t>Pzp</w:t>
      </w:r>
      <w:proofErr w:type="spellEnd"/>
      <w:r w:rsidRPr="00F11653">
        <w:rPr>
          <w:sz w:val="22"/>
          <w:szCs w:val="22"/>
        </w:rPr>
        <w:t xml:space="preserve"> ; </w:t>
      </w:r>
    </w:p>
    <w:p w14:paraId="195CCD4D" w14:textId="77777777" w:rsidR="00F11653" w:rsidRPr="00F11653" w:rsidRDefault="00F11653" w:rsidP="00F11653">
      <w:pPr>
        <w:numPr>
          <w:ilvl w:val="0"/>
          <w:numId w:val="39"/>
        </w:numPr>
        <w:spacing w:before="240" w:line="360" w:lineRule="auto"/>
        <w:ind w:left="709"/>
        <w:jc w:val="both"/>
        <w:rPr>
          <w:sz w:val="22"/>
          <w:szCs w:val="22"/>
        </w:rPr>
      </w:pPr>
      <w:r w:rsidRPr="00F11653">
        <w:rPr>
          <w:sz w:val="22"/>
          <w:szCs w:val="22"/>
        </w:rPr>
        <w:t xml:space="preserve">spełniających przesłanki, o których mowa w </w:t>
      </w:r>
      <w:r w:rsidRPr="00F11653">
        <w:rPr>
          <w:sz w:val="22"/>
          <w:szCs w:val="22"/>
          <w:lang w:val="cs-CZ"/>
        </w:rPr>
        <w:t>art.  7 ust. 1 ustawy z dnia 13 kwietnia 2022 r.</w:t>
      </w:r>
      <w:r w:rsidRPr="00F11653">
        <w:rPr>
          <w:i/>
          <w:iCs/>
          <w:sz w:val="22"/>
          <w:szCs w:val="22"/>
          <w:lang w:val="cs-CZ"/>
        </w:rPr>
        <w:t xml:space="preserve"> </w:t>
      </w:r>
      <w:r w:rsidRPr="00F11653">
        <w:rPr>
          <w:i/>
          <w:iCs/>
          <w:color w:val="222222"/>
          <w:sz w:val="22"/>
          <w:szCs w:val="22"/>
          <w:lang w:val="cs-CZ"/>
        </w:rPr>
        <w:t xml:space="preserve">o szczególnych rozwiązaniach w zakresie przeciwdziałania wspieraniu agresji na Ukrainę oraz służących ochronie bezpieczeństwa narodowego </w:t>
      </w:r>
      <w:r w:rsidRPr="00F11653">
        <w:rPr>
          <w:iCs/>
          <w:color w:val="222222"/>
          <w:sz w:val="22"/>
          <w:szCs w:val="22"/>
          <w:lang w:val="cs-CZ"/>
        </w:rPr>
        <w:t>(Dz. U. poz. 835).</w:t>
      </w:r>
    </w:p>
    <w:p w14:paraId="183CBC98" w14:textId="77777777" w:rsidR="00F11653" w:rsidRPr="00F11653" w:rsidRDefault="00F11653" w:rsidP="00F11653">
      <w:pPr>
        <w:numPr>
          <w:ilvl w:val="0"/>
          <w:numId w:val="20"/>
        </w:numPr>
        <w:tabs>
          <w:tab w:val="clear" w:pos="1009"/>
        </w:tabs>
        <w:spacing w:before="240" w:line="360" w:lineRule="auto"/>
        <w:ind w:left="426" w:hanging="426"/>
        <w:jc w:val="both"/>
        <w:rPr>
          <w:sz w:val="22"/>
          <w:szCs w:val="22"/>
        </w:rPr>
      </w:pPr>
      <w:r w:rsidRPr="00F11653">
        <w:rPr>
          <w:sz w:val="22"/>
          <w:szCs w:val="22"/>
        </w:rPr>
        <w:t xml:space="preserve">     Wykluczenie Wykonawcy następuje zgodnie z art. 111 </w:t>
      </w:r>
      <w:proofErr w:type="spellStart"/>
      <w:r w:rsidRPr="00F11653">
        <w:rPr>
          <w:sz w:val="22"/>
          <w:szCs w:val="22"/>
        </w:rPr>
        <w:t>Pzp</w:t>
      </w:r>
      <w:proofErr w:type="spellEnd"/>
      <w:r w:rsidRPr="00F11653">
        <w:rPr>
          <w:sz w:val="22"/>
          <w:szCs w:val="22"/>
        </w:rPr>
        <w:t>.</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812F4">
        <w:rPr>
          <w:sz w:val="22"/>
          <w:szCs w:val="22"/>
        </w:rPr>
        <w:t>Pzp</w:t>
      </w:r>
      <w:proofErr w:type="spellEnd"/>
      <w:r w:rsidRPr="003812F4">
        <w:rPr>
          <w:sz w:val="22"/>
          <w:szCs w:val="22"/>
        </w:rPr>
        <w:t xml:space="preserve">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6F54E3">
      <w:pPr>
        <w:pStyle w:val="Akapitzlist"/>
        <w:numPr>
          <w:ilvl w:val="0"/>
          <w:numId w:val="25"/>
        </w:numPr>
        <w:spacing w:line="360" w:lineRule="auto"/>
        <w:ind w:left="284" w:hanging="284"/>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6F54E3">
      <w:pPr>
        <w:pStyle w:val="Akapitzlist"/>
        <w:numPr>
          <w:ilvl w:val="0"/>
          <w:numId w:val="25"/>
        </w:numPr>
        <w:tabs>
          <w:tab w:val="left" w:pos="142"/>
        </w:tabs>
        <w:spacing w:line="276" w:lineRule="auto"/>
        <w:ind w:left="284" w:hanging="284"/>
        <w:jc w:val="both"/>
        <w:rPr>
          <w:sz w:val="22"/>
          <w:szCs w:val="22"/>
        </w:rPr>
      </w:pPr>
      <w:r w:rsidRPr="008B76F2">
        <w:rPr>
          <w:b/>
          <w:sz w:val="22"/>
          <w:szCs w:val="22"/>
        </w:rPr>
        <w:t>WYKONAWCY ZAGRANICZNI</w:t>
      </w:r>
      <w:r w:rsidRPr="008B76F2">
        <w:rPr>
          <w:sz w:val="22"/>
          <w:szCs w:val="22"/>
        </w:rPr>
        <w:t xml:space="preserve">: Jeżeli Wykonawca ma siedzibę lub miejsce zamieszkania poza terytorium Rzeczypospolitej Polskiej, zamiast dokumentu, o których mowa w ust. 4 pkt 2, składa dokument </w:t>
      </w:r>
      <w:r w:rsidRPr="008B76F2">
        <w:rPr>
          <w:sz w:val="22"/>
          <w:szCs w:val="22"/>
        </w:rPr>
        <w:lastRenderedPageBreak/>
        <w:t>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6F54E3">
      <w:pPr>
        <w:pStyle w:val="Akapitzlist"/>
        <w:numPr>
          <w:ilvl w:val="0"/>
          <w:numId w:val="25"/>
        </w:numPr>
        <w:spacing w:line="276" w:lineRule="auto"/>
        <w:ind w:left="284" w:hanging="284"/>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6F54E3">
      <w:pPr>
        <w:pStyle w:val="Akapitzlist"/>
        <w:numPr>
          <w:ilvl w:val="0"/>
          <w:numId w:val="25"/>
        </w:numPr>
        <w:spacing w:line="276" w:lineRule="auto"/>
        <w:ind w:left="284" w:hanging="284"/>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6F54E3">
      <w:pPr>
        <w:pStyle w:val="Akapitzlist"/>
        <w:numPr>
          <w:ilvl w:val="0"/>
          <w:numId w:val="25"/>
        </w:numPr>
        <w:spacing w:line="276" w:lineRule="auto"/>
        <w:ind w:left="284" w:hanging="284"/>
        <w:jc w:val="both"/>
        <w:rPr>
          <w:i/>
          <w:iCs/>
          <w:sz w:val="22"/>
          <w:szCs w:val="22"/>
        </w:rPr>
      </w:pPr>
      <w:r w:rsidRPr="008B76F2">
        <w:rPr>
          <w:sz w:val="22"/>
          <w:szCs w:val="22"/>
        </w:rPr>
        <w:t xml:space="preserve">W zakresie nieuregulowanym ustawą </w:t>
      </w:r>
      <w:proofErr w:type="spellStart"/>
      <w:r w:rsidRPr="008B76F2">
        <w:rPr>
          <w:sz w:val="22"/>
          <w:szCs w:val="22"/>
        </w:rPr>
        <w:t>Pzp</w:t>
      </w:r>
      <w:proofErr w:type="spellEnd"/>
      <w:r w:rsidRPr="008B76F2">
        <w:rPr>
          <w:sz w:val="22"/>
          <w:szCs w:val="22"/>
        </w:rPr>
        <w:t xml:space="preserve">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31BE0AB" w14:textId="77777777" w:rsidR="00C93D98" w:rsidRDefault="00C93D98" w:rsidP="00C93D98">
      <w:pPr>
        <w:pStyle w:val="Akapitzlist"/>
        <w:spacing w:line="276" w:lineRule="auto"/>
        <w:ind w:left="426"/>
        <w:jc w:val="both"/>
        <w:rPr>
          <w:sz w:val="22"/>
          <w:szCs w:val="22"/>
        </w:rPr>
      </w:pPr>
    </w:p>
    <w:p w14:paraId="4C76A4F0" w14:textId="301F6730" w:rsidR="00C67B19" w:rsidRDefault="00C67B19" w:rsidP="003538CD">
      <w:pPr>
        <w:pStyle w:val="Akapitzlist"/>
        <w:numPr>
          <w:ilvl w:val="0"/>
          <w:numId w:val="49"/>
        </w:numPr>
        <w:spacing w:line="276" w:lineRule="auto"/>
        <w:ind w:left="426" w:hanging="426"/>
        <w:jc w:val="both"/>
        <w:rPr>
          <w:sz w:val="22"/>
          <w:szCs w:val="22"/>
        </w:rPr>
      </w:pPr>
      <w:r w:rsidRPr="00C67B19">
        <w:rPr>
          <w:sz w:val="22"/>
          <w:szCs w:val="22"/>
        </w:rPr>
        <w:t xml:space="preserve">W celu potwierdzenia, że oferowane dostawy odpowiadają wymaganiom określonym przez Zamawiającego należy </w:t>
      </w:r>
      <w:r w:rsidRPr="00D71033">
        <w:rPr>
          <w:sz w:val="22"/>
          <w:szCs w:val="22"/>
          <w:u w:val="single"/>
        </w:rPr>
        <w:t>złożyć wraz z ofertą</w:t>
      </w:r>
      <w:r w:rsidRPr="00C67B19">
        <w:rPr>
          <w:sz w:val="22"/>
          <w:szCs w:val="22"/>
        </w:rPr>
        <w:t xml:space="preserve"> następujące oświadczenia i dokumenty:</w:t>
      </w:r>
    </w:p>
    <w:p w14:paraId="3FC677A0" w14:textId="77777777" w:rsidR="00D71033" w:rsidRPr="00C67B19" w:rsidRDefault="00D71033" w:rsidP="00D71033">
      <w:pPr>
        <w:pStyle w:val="Akapitzlist"/>
        <w:spacing w:line="276" w:lineRule="auto"/>
        <w:ind w:left="426"/>
        <w:jc w:val="both"/>
        <w:rPr>
          <w:sz w:val="22"/>
          <w:szCs w:val="22"/>
        </w:rPr>
      </w:pPr>
    </w:p>
    <w:p w14:paraId="2E3EF52E" w14:textId="3BE81123" w:rsidR="00C67B19" w:rsidRDefault="003538CD" w:rsidP="003538CD">
      <w:pPr>
        <w:pStyle w:val="Akapitzlist"/>
        <w:numPr>
          <w:ilvl w:val="0"/>
          <w:numId w:val="50"/>
        </w:numPr>
        <w:spacing w:line="276" w:lineRule="auto"/>
        <w:ind w:left="851"/>
        <w:jc w:val="both"/>
        <w:rPr>
          <w:sz w:val="22"/>
          <w:szCs w:val="22"/>
        </w:rPr>
      </w:pPr>
      <w:r>
        <w:rPr>
          <w:sz w:val="22"/>
          <w:szCs w:val="22"/>
        </w:rPr>
        <w:t>kart</w:t>
      </w:r>
      <w:r w:rsidR="00CB66D9">
        <w:rPr>
          <w:sz w:val="22"/>
          <w:szCs w:val="22"/>
        </w:rPr>
        <w:t>y</w:t>
      </w:r>
      <w:r>
        <w:rPr>
          <w:sz w:val="22"/>
          <w:szCs w:val="22"/>
        </w:rPr>
        <w:t xml:space="preserve"> </w:t>
      </w:r>
      <w:r w:rsidR="00C67B19" w:rsidRPr="00C67B19">
        <w:rPr>
          <w:sz w:val="22"/>
          <w:szCs w:val="22"/>
        </w:rPr>
        <w:t>katalogow</w:t>
      </w:r>
      <w:r w:rsidR="00CB66D9">
        <w:rPr>
          <w:sz w:val="22"/>
          <w:szCs w:val="22"/>
        </w:rPr>
        <w:t>e</w:t>
      </w:r>
      <w:r w:rsidR="00C67B19" w:rsidRPr="00C67B19">
        <w:rPr>
          <w:sz w:val="22"/>
          <w:szCs w:val="22"/>
        </w:rPr>
        <w:t xml:space="preserve"> w języku polskim. Zamawiający dopuszcza złożenie karty katalogowej w języku angielskim. </w:t>
      </w:r>
    </w:p>
    <w:p w14:paraId="50E647A7" w14:textId="77777777" w:rsidR="00D71033" w:rsidRPr="00C67B19" w:rsidRDefault="00D71033" w:rsidP="00D71033">
      <w:pPr>
        <w:pStyle w:val="Akapitzlist"/>
        <w:spacing w:line="276" w:lineRule="auto"/>
        <w:ind w:left="851"/>
        <w:jc w:val="both"/>
        <w:rPr>
          <w:sz w:val="22"/>
          <w:szCs w:val="22"/>
        </w:rPr>
      </w:pPr>
    </w:p>
    <w:p w14:paraId="735A47B8" w14:textId="06847128" w:rsidR="00C67B19" w:rsidRPr="00C67B19" w:rsidRDefault="00C67B19" w:rsidP="003538CD">
      <w:pPr>
        <w:pStyle w:val="Akapitzlist"/>
        <w:spacing w:line="276" w:lineRule="auto"/>
        <w:ind w:left="426" w:hanging="426"/>
        <w:jc w:val="both"/>
        <w:rPr>
          <w:sz w:val="22"/>
          <w:szCs w:val="22"/>
        </w:rPr>
      </w:pPr>
      <w:r w:rsidRPr="00C67B19">
        <w:rPr>
          <w:sz w:val="22"/>
          <w:szCs w:val="22"/>
        </w:rPr>
        <w:t xml:space="preserve">2. </w:t>
      </w:r>
      <w:r w:rsidR="00C93D98">
        <w:rPr>
          <w:sz w:val="22"/>
          <w:szCs w:val="22"/>
        </w:rPr>
        <w:t xml:space="preserve">  </w:t>
      </w:r>
      <w:r w:rsidRPr="00C67B19">
        <w:rPr>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74B5924C" w14:textId="10C75180" w:rsidR="00601973" w:rsidRDefault="00601973" w:rsidP="003538CD">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 xml:space="preserve">ykonawcy przez podmioty udostępniające zasoby zdolności techniczne lub zawodowe, pozwalają na wykazanie przez wykonawcę spełniania warunków udziału w </w:t>
      </w:r>
      <w:r w:rsidRPr="005D4210">
        <w:rPr>
          <w:rFonts w:ascii="Times New Roman" w:hAnsi="Times New Roman" w:cs="Times New Roman"/>
          <w:sz w:val="22"/>
          <w:szCs w:val="22"/>
          <w:lang w:val="pl-PL"/>
        </w:rPr>
        <w:lastRenderedPageBreak/>
        <w:t>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w:t>
      </w:r>
      <w:proofErr w:type="spellStart"/>
      <w:r w:rsidR="00ED3CF2" w:rsidRPr="005D4210">
        <w:rPr>
          <w:sz w:val="22"/>
          <w:szCs w:val="22"/>
        </w:rPr>
        <w:t>Pzp</w:t>
      </w:r>
      <w:proofErr w:type="spellEnd"/>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w:t>
      </w:r>
      <w:proofErr w:type="spellStart"/>
      <w:r w:rsidR="00C954B6" w:rsidRPr="005D4210">
        <w:rPr>
          <w:bCs/>
          <w:sz w:val="22"/>
          <w:szCs w:val="22"/>
        </w:rPr>
        <w:t>Pzp</w:t>
      </w:r>
      <w:proofErr w:type="spellEnd"/>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lastRenderedPageBreak/>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lastRenderedPageBreak/>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 xml:space="preserve">Zastrzeżenie przez Wykonawcę tajemnicy przedsiębiorstwa bez uzasadnienia, będzie traktowane przez </w:t>
      </w:r>
      <w:r w:rsidR="00786FEB" w:rsidRPr="005D4210">
        <w:rPr>
          <w:sz w:val="22"/>
          <w:szCs w:val="22"/>
        </w:rPr>
        <w:lastRenderedPageBreak/>
        <w:t xml:space="preserve">Zamawiającego, jako bezskuteczne ze względu na zaniechanie przez Wykonawcę podjęcia niezbędnych działań w celu zachowania poufności objętych klauzulą informacji zgodnie z postanowieniami art. 18 ust. 3 </w:t>
      </w:r>
      <w:proofErr w:type="spellStart"/>
      <w:r w:rsidR="00786FEB" w:rsidRPr="005D4210">
        <w:rPr>
          <w:sz w:val="22"/>
          <w:szCs w:val="22"/>
        </w:rPr>
        <w:t>Pzp</w:t>
      </w:r>
      <w:proofErr w:type="spellEnd"/>
      <w:r w:rsidR="00786FEB" w:rsidRPr="005D4210">
        <w:rPr>
          <w:sz w:val="22"/>
          <w:szCs w:val="22"/>
        </w:rPr>
        <w:t>.</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lastRenderedPageBreak/>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4AAF43EF"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293C44" w:rsidRPr="00293C44">
        <w:rPr>
          <w:b/>
          <w:bCs/>
          <w:sz w:val="22"/>
          <w:szCs w:val="22"/>
        </w:rPr>
        <w:t>04.06.2024r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24484EDF"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do dnia</w:t>
      </w:r>
      <w:r w:rsidR="00293C44">
        <w:rPr>
          <w:b/>
          <w:sz w:val="22"/>
          <w:szCs w:val="22"/>
        </w:rPr>
        <w:t xml:space="preserve"> 06.05.2024r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4CB43142"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w dniu</w:t>
      </w:r>
      <w:r w:rsidR="00293C44">
        <w:rPr>
          <w:sz w:val="22"/>
          <w:szCs w:val="22"/>
        </w:rPr>
        <w:t xml:space="preserve"> </w:t>
      </w:r>
      <w:r w:rsidR="00293C44" w:rsidRPr="00293C44">
        <w:rPr>
          <w:b/>
          <w:bCs/>
          <w:sz w:val="22"/>
          <w:szCs w:val="22"/>
        </w:rPr>
        <w:t>06.05.</w:t>
      </w:r>
      <w:r w:rsidR="00932F29" w:rsidRPr="00293C44">
        <w:rPr>
          <w:b/>
          <w:bCs/>
          <w:caps/>
          <w:sz w:val="22"/>
          <w:szCs w:val="22"/>
        </w:rPr>
        <w:t>202</w:t>
      </w:r>
      <w:r w:rsidR="00CB66D9" w:rsidRPr="00293C44">
        <w:rPr>
          <w:b/>
          <w:bCs/>
          <w:caps/>
          <w:sz w:val="22"/>
          <w:szCs w:val="22"/>
        </w:rPr>
        <w:t>4</w:t>
      </w:r>
      <w:r w:rsidR="00115F5C" w:rsidRPr="00293C44">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F100552" w:rsidR="00540BEC"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A91A52" w14:textId="77777777" w:rsidR="008F74AD" w:rsidRPr="005D4210" w:rsidRDefault="008F74AD" w:rsidP="008F74AD">
      <w:pPr>
        <w:spacing w:line="276" w:lineRule="auto"/>
        <w:ind w:left="426"/>
        <w:jc w:val="both"/>
        <w:rPr>
          <w:bCs/>
          <w:sz w:val="22"/>
          <w:szCs w:val="22"/>
        </w:rPr>
      </w:pP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3ECD4789" w14:textId="77777777" w:rsidR="00CB66D9" w:rsidRPr="00F53983" w:rsidRDefault="00CB66D9" w:rsidP="00CB66D9">
      <w:pPr>
        <w:pStyle w:val="Akapitzlist"/>
        <w:shd w:val="clear" w:color="auto" w:fill="FFFFFF"/>
        <w:tabs>
          <w:tab w:val="left" w:pos="142"/>
        </w:tabs>
        <w:spacing w:before="240" w:after="100" w:afterAutospacing="1"/>
        <w:ind w:left="0"/>
        <w:jc w:val="both"/>
        <w:rPr>
          <w:sz w:val="22"/>
          <w:szCs w:val="22"/>
        </w:rPr>
      </w:pPr>
      <w:r w:rsidRPr="00F53983">
        <w:rPr>
          <w:sz w:val="22"/>
          <w:szCs w:val="22"/>
        </w:rPr>
        <w:t>1.</w:t>
      </w:r>
      <w:r w:rsidRPr="00F53983">
        <w:rPr>
          <w:sz w:val="22"/>
          <w:szCs w:val="22"/>
        </w:rPr>
        <w:tab/>
      </w:r>
      <w:r w:rsidRPr="00F53983">
        <w:rPr>
          <w:sz w:val="22"/>
          <w:szCs w:val="22"/>
        </w:rPr>
        <w:tab/>
        <w:t>Przy wyborze najkorzystniejszej oferty Zamawiający będzie się kierował następującymi kryteriami oceny ofert:</w:t>
      </w:r>
    </w:p>
    <w:p w14:paraId="643E367F" w14:textId="77777777" w:rsidR="00CB66D9" w:rsidRPr="00870976" w:rsidRDefault="00CB66D9" w:rsidP="00CB66D9">
      <w:pPr>
        <w:pStyle w:val="Akapitzlist"/>
        <w:numPr>
          <w:ilvl w:val="0"/>
          <w:numId w:val="51"/>
        </w:numPr>
        <w:shd w:val="clear" w:color="auto" w:fill="FFFFFF"/>
        <w:tabs>
          <w:tab w:val="left" w:pos="715"/>
        </w:tabs>
        <w:spacing w:line="360" w:lineRule="auto"/>
        <w:jc w:val="both"/>
        <w:rPr>
          <w:b/>
          <w:sz w:val="22"/>
          <w:szCs w:val="22"/>
        </w:rPr>
      </w:pPr>
      <w:r w:rsidRPr="00870976">
        <w:rPr>
          <w:b/>
          <w:sz w:val="22"/>
          <w:szCs w:val="22"/>
        </w:rPr>
        <w:t>Cena (C) – waga kryterium 60%;</w:t>
      </w:r>
    </w:p>
    <w:p w14:paraId="41BD9D46" w14:textId="77777777" w:rsidR="00CB66D9" w:rsidRPr="00870976" w:rsidRDefault="00CB66D9" w:rsidP="00CB66D9">
      <w:pPr>
        <w:pStyle w:val="Akapitzlist"/>
        <w:numPr>
          <w:ilvl w:val="0"/>
          <w:numId w:val="51"/>
        </w:numPr>
        <w:shd w:val="clear" w:color="auto" w:fill="FFFFFF"/>
        <w:tabs>
          <w:tab w:val="left" w:pos="715"/>
        </w:tabs>
        <w:spacing w:line="360" w:lineRule="auto"/>
        <w:jc w:val="both"/>
        <w:rPr>
          <w:b/>
          <w:sz w:val="22"/>
          <w:szCs w:val="22"/>
        </w:rPr>
      </w:pPr>
      <w:r>
        <w:rPr>
          <w:b/>
          <w:sz w:val="22"/>
          <w:szCs w:val="22"/>
        </w:rPr>
        <w:lastRenderedPageBreak/>
        <w:t>Czas</w:t>
      </w:r>
      <w:r w:rsidRPr="00870976">
        <w:rPr>
          <w:b/>
          <w:sz w:val="22"/>
          <w:szCs w:val="22"/>
        </w:rPr>
        <w:t xml:space="preserve"> reakcji serwisu (</w:t>
      </w:r>
      <w:proofErr w:type="spellStart"/>
      <w:r w:rsidRPr="00870976">
        <w:rPr>
          <w:b/>
          <w:sz w:val="22"/>
          <w:szCs w:val="22"/>
        </w:rPr>
        <w:t>Cz</w:t>
      </w:r>
      <w:proofErr w:type="spellEnd"/>
      <w:r w:rsidRPr="00870976">
        <w:rPr>
          <w:b/>
          <w:sz w:val="22"/>
          <w:szCs w:val="22"/>
        </w:rPr>
        <w:t>) – waga kryterium – 20%</w:t>
      </w:r>
    </w:p>
    <w:p w14:paraId="224758EE" w14:textId="77777777" w:rsidR="00CB66D9" w:rsidRPr="00870976" w:rsidRDefault="00CB66D9" w:rsidP="00CB66D9">
      <w:pPr>
        <w:pStyle w:val="Akapitzlist"/>
        <w:numPr>
          <w:ilvl w:val="0"/>
          <w:numId w:val="51"/>
        </w:numPr>
        <w:shd w:val="clear" w:color="auto" w:fill="FFFFFF"/>
        <w:tabs>
          <w:tab w:val="left" w:pos="715"/>
        </w:tabs>
        <w:spacing w:line="360" w:lineRule="auto"/>
        <w:jc w:val="both"/>
        <w:rPr>
          <w:b/>
          <w:sz w:val="22"/>
          <w:szCs w:val="22"/>
        </w:rPr>
      </w:pPr>
      <w:r w:rsidRPr="00870976">
        <w:rPr>
          <w:b/>
          <w:sz w:val="22"/>
          <w:szCs w:val="22"/>
        </w:rPr>
        <w:t>Termin dostawy (T) – waga kryterium 20%</w:t>
      </w:r>
    </w:p>
    <w:p w14:paraId="262B556A" w14:textId="77777777" w:rsidR="00CB66D9" w:rsidRPr="00F53983" w:rsidRDefault="00CB66D9" w:rsidP="00CB66D9">
      <w:pPr>
        <w:pStyle w:val="Akapitzlist"/>
        <w:shd w:val="clear" w:color="auto" w:fill="FFFFFF"/>
        <w:tabs>
          <w:tab w:val="left" w:pos="142"/>
        </w:tabs>
        <w:spacing w:before="240" w:after="100" w:afterAutospacing="1"/>
        <w:ind w:left="0"/>
        <w:jc w:val="both"/>
        <w:rPr>
          <w:sz w:val="22"/>
          <w:szCs w:val="22"/>
        </w:rPr>
      </w:pPr>
      <w:r w:rsidRPr="00F53983">
        <w:rPr>
          <w:sz w:val="22"/>
          <w:szCs w:val="22"/>
        </w:rPr>
        <w:t>2.</w:t>
      </w:r>
      <w:r w:rsidRPr="00F53983">
        <w:rPr>
          <w:sz w:val="22"/>
          <w:szCs w:val="22"/>
        </w:rPr>
        <w:tab/>
      </w:r>
      <w:r w:rsidRPr="00F53983">
        <w:rPr>
          <w:sz w:val="22"/>
          <w:szCs w:val="22"/>
        </w:rPr>
        <w:tab/>
        <w:t>Zasady oceny ofert w poszczególnych kryteriach:</w:t>
      </w:r>
    </w:p>
    <w:p w14:paraId="67788AC3"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r w:rsidRPr="00F53983">
        <w:rPr>
          <w:sz w:val="22"/>
          <w:szCs w:val="22"/>
        </w:rPr>
        <w:t>1)</w:t>
      </w:r>
      <w:r w:rsidRPr="00F53983">
        <w:rPr>
          <w:sz w:val="22"/>
          <w:szCs w:val="22"/>
        </w:rPr>
        <w:tab/>
      </w:r>
      <w:r w:rsidRPr="00F53983">
        <w:rPr>
          <w:sz w:val="22"/>
          <w:szCs w:val="22"/>
        </w:rPr>
        <w:tab/>
        <w:t>Cena (C) – waga 60%</w:t>
      </w:r>
    </w:p>
    <w:p w14:paraId="16705114" w14:textId="77777777" w:rsidR="00CB66D9" w:rsidRPr="00F53983" w:rsidRDefault="00CB66D9" w:rsidP="00CB66D9">
      <w:pPr>
        <w:pStyle w:val="Akapitzlist"/>
        <w:shd w:val="clear" w:color="auto" w:fill="FFFFFF"/>
        <w:tabs>
          <w:tab w:val="left" w:pos="715"/>
        </w:tabs>
        <w:ind w:left="0"/>
        <w:rPr>
          <w:b/>
          <w:sz w:val="22"/>
          <w:szCs w:val="22"/>
        </w:rPr>
      </w:pPr>
      <w:r w:rsidRPr="00F53983">
        <w:rPr>
          <w:b/>
          <w:sz w:val="22"/>
          <w:szCs w:val="22"/>
        </w:rPr>
        <w:t xml:space="preserve">                  Najniższa wartość kryterium Cena*</w:t>
      </w:r>
    </w:p>
    <w:p w14:paraId="6DE337DE" w14:textId="5B626324" w:rsidR="00CB66D9" w:rsidRPr="00F53983" w:rsidRDefault="00CB66D9" w:rsidP="00CB66D9">
      <w:pPr>
        <w:pStyle w:val="Akapitzlist"/>
        <w:shd w:val="clear" w:color="auto" w:fill="FFFFFF"/>
        <w:tabs>
          <w:tab w:val="left" w:pos="715"/>
        </w:tabs>
        <w:ind w:left="426"/>
        <w:rPr>
          <w:sz w:val="22"/>
          <w:szCs w:val="22"/>
        </w:rPr>
      </w:pPr>
      <w:r w:rsidRPr="00F53983">
        <w:rPr>
          <w:b/>
          <w:sz w:val="22"/>
          <w:szCs w:val="22"/>
        </w:rPr>
        <w:t xml:space="preserve">C = (------------------------------------------------   x 100)  </w:t>
      </w:r>
      <w:r w:rsidR="00957FB6">
        <w:rPr>
          <w:b/>
          <w:sz w:val="22"/>
          <w:szCs w:val="22"/>
        </w:rPr>
        <w:t xml:space="preserve">x </w:t>
      </w:r>
      <w:r w:rsidRPr="00F53983">
        <w:rPr>
          <w:b/>
          <w:sz w:val="22"/>
          <w:szCs w:val="22"/>
        </w:rPr>
        <w:t>waga kryterium tj.  60%</w:t>
      </w:r>
      <w:r w:rsidRPr="00F53983">
        <w:rPr>
          <w:b/>
          <w:sz w:val="22"/>
          <w:szCs w:val="22"/>
        </w:rPr>
        <w:br/>
        <w:t xml:space="preserve">                   cena oferty badanej</w:t>
      </w:r>
    </w:p>
    <w:p w14:paraId="40E3240D"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r w:rsidRPr="00F53983">
        <w:rPr>
          <w:sz w:val="22"/>
          <w:szCs w:val="22"/>
        </w:rPr>
        <w:t>* spośród wszystkich złożonych ofert niepodlegających odrzuceniu</w:t>
      </w:r>
    </w:p>
    <w:p w14:paraId="64EAEFD8"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r w:rsidRPr="00F53983">
        <w:rPr>
          <w:sz w:val="22"/>
          <w:szCs w:val="22"/>
        </w:rPr>
        <w:t>a)</w:t>
      </w:r>
      <w:r w:rsidRPr="00F53983">
        <w:rPr>
          <w:sz w:val="22"/>
          <w:szCs w:val="22"/>
        </w:rPr>
        <w:tab/>
      </w:r>
      <w:r w:rsidRPr="00F53983">
        <w:rPr>
          <w:sz w:val="22"/>
          <w:szCs w:val="22"/>
        </w:rPr>
        <w:tab/>
        <w:t>Podstawą przyznania punktów w kryterium „cena” będzie cena ofertowa brutto podana przez Wykonawcę w Formularzu Ofertowym.</w:t>
      </w:r>
    </w:p>
    <w:p w14:paraId="24002B9B"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r w:rsidRPr="00F53983">
        <w:rPr>
          <w:sz w:val="22"/>
          <w:szCs w:val="22"/>
        </w:rPr>
        <w:t>b)</w:t>
      </w:r>
      <w:r w:rsidRPr="00F53983">
        <w:rPr>
          <w:sz w:val="22"/>
          <w:szCs w:val="22"/>
        </w:rPr>
        <w:tab/>
      </w:r>
      <w:r w:rsidRPr="00F53983">
        <w:rPr>
          <w:sz w:val="22"/>
          <w:szCs w:val="22"/>
        </w:rPr>
        <w:tab/>
        <w:t>Cena ofertowa brutto musi uwzględniać wszelkie koszty jakie Wykonawca poniesie w związku z realizacją przedmiotu zamówienia.</w:t>
      </w:r>
    </w:p>
    <w:p w14:paraId="35958FA2"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p>
    <w:p w14:paraId="45B407C7" w14:textId="77777777" w:rsidR="00CB66D9" w:rsidRPr="00F53983" w:rsidRDefault="00CB66D9" w:rsidP="00CB66D9">
      <w:pPr>
        <w:pStyle w:val="Akapitzlist"/>
        <w:shd w:val="clear" w:color="auto" w:fill="FFFFFF"/>
        <w:tabs>
          <w:tab w:val="left" w:pos="715"/>
        </w:tabs>
        <w:spacing w:before="240" w:after="100" w:afterAutospacing="1"/>
        <w:ind w:left="284" w:hanging="426"/>
        <w:jc w:val="both"/>
        <w:rPr>
          <w:sz w:val="22"/>
          <w:szCs w:val="22"/>
        </w:rPr>
      </w:pPr>
      <w:r w:rsidRPr="00F53983">
        <w:rPr>
          <w:sz w:val="22"/>
          <w:szCs w:val="22"/>
        </w:rPr>
        <w:t>2)</w:t>
      </w:r>
      <w:r w:rsidRPr="00F53983">
        <w:rPr>
          <w:sz w:val="22"/>
          <w:szCs w:val="22"/>
        </w:rPr>
        <w:tab/>
      </w:r>
      <w:r w:rsidRPr="00F53983">
        <w:rPr>
          <w:b/>
          <w:sz w:val="22"/>
          <w:szCs w:val="22"/>
        </w:rPr>
        <w:t>Kryterium „Czas reakcji serwisu”*</w:t>
      </w:r>
      <w:r w:rsidRPr="00F53983">
        <w:rPr>
          <w:sz w:val="22"/>
          <w:szCs w:val="22"/>
        </w:rPr>
        <w:t>- ocena dokonana zostanie na podstawie informacji o czasie</w:t>
      </w:r>
      <w:r w:rsidRPr="00F53983">
        <w:rPr>
          <w:bCs/>
          <w:i/>
          <w:iCs/>
          <w:sz w:val="22"/>
          <w:szCs w:val="22"/>
        </w:rPr>
        <w:t xml:space="preserve"> reakcji serwisu </w:t>
      </w:r>
      <w:r w:rsidRPr="00F53983">
        <w:rPr>
          <w:sz w:val="22"/>
          <w:szCs w:val="22"/>
        </w:rPr>
        <w:t>wskazanym przez Wykonawcę w Formularzu ofertowym stanowiącym załącznik nr 1 do SWZ i przeliczona według wzoru:</w:t>
      </w:r>
    </w:p>
    <w:p w14:paraId="269B338A" w14:textId="77777777" w:rsidR="00CB66D9" w:rsidRPr="00F53983" w:rsidRDefault="00CB66D9" w:rsidP="00CB66D9">
      <w:pPr>
        <w:pStyle w:val="Akapitzlist"/>
        <w:shd w:val="clear" w:color="auto" w:fill="FFFFFF"/>
        <w:tabs>
          <w:tab w:val="left" w:pos="715"/>
        </w:tabs>
        <w:ind w:left="1276"/>
        <w:rPr>
          <w:b/>
          <w:sz w:val="22"/>
          <w:szCs w:val="22"/>
        </w:rPr>
      </w:pPr>
      <w:r w:rsidRPr="00F53983">
        <w:rPr>
          <w:b/>
          <w:sz w:val="22"/>
          <w:szCs w:val="22"/>
        </w:rPr>
        <w:t>Najkrótszy</w:t>
      </w:r>
      <w:r>
        <w:rPr>
          <w:b/>
          <w:sz w:val="22"/>
          <w:szCs w:val="22"/>
        </w:rPr>
        <w:t xml:space="preserve"> proponowany</w:t>
      </w:r>
      <w:r w:rsidRPr="00F53983">
        <w:rPr>
          <w:b/>
          <w:sz w:val="22"/>
          <w:szCs w:val="22"/>
        </w:rPr>
        <w:t xml:space="preserve"> czas</w:t>
      </w:r>
      <w:r w:rsidRPr="00F53983">
        <w:rPr>
          <w:b/>
          <w:bCs/>
          <w:sz w:val="22"/>
          <w:szCs w:val="22"/>
        </w:rPr>
        <w:t xml:space="preserve"> reakcji serwisu</w:t>
      </w:r>
      <w:r w:rsidRPr="00F53983">
        <w:rPr>
          <w:b/>
          <w:sz w:val="22"/>
          <w:szCs w:val="22"/>
        </w:rPr>
        <w:t xml:space="preserve"> </w:t>
      </w:r>
      <w:r>
        <w:rPr>
          <w:b/>
          <w:sz w:val="22"/>
          <w:szCs w:val="22"/>
        </w:rPr>
        <w:br/>
      </w:r>
      <w:r w:rsidRPr="00F53983">
        <w:rPr>
          <w:b/>
          <w:sz w:val="22"/>
          <w:szCs w:val="22"/>
        </w:rPr>
        <w:t>pośród ocenianych ofert</w:t>
      </w:r>
      <w:bookmarkStart w:id="5" w:name="_Hlk158709175"/>
    </w:p>
    <w:bookmarkEnd w:id="5"/>
    <w:p w14:paraId="2B14EB3C" w14:textId="77777777" w:rsidR="00CB66D9" w:rsidRPr="00F53983" w:rsidRDefault="00CB66D9" w:rsidP="00CB66D9">
      <w:pPr>
        <w:pStyle w:val="Akapitzlist"/>
        <w:shd w:val="clear" w:color="auto" w:fill="FFFFFF"/>
        <w:tabs>
          <w:tab w:val="left" w:pos="715"/>
        </w:tabs>
        <w:ind w:left="426"/>
        <w:jc w:val="both"/>
        <w:rPr>
          <w:b/>
          <w:sz w:val="22"/>
          <w:szCs w:val="22"/>
        </w:rPr>
      </w:pPr>
      <w:proofErr w:type="spellStart"/>
      <w:r w:rsidRPr="00F53983">
        <w:rPr>
          <w:b/>
          <w:sz w:val="22"/>
          <w:szCs w:val="22"/>
        </w:rPr>
        <w:t>Cz</w:t>
      </w:r>
      <w:proofErr w:type="spellEnd"/>
      <w:r w:rsidRPr="00F53983">
        <w:rPr>
          <w:b/>
          <w:sz w:val="22"/>
          <w:szCs w:val="22"/>
        </w:rPr>
        <w:t xml:space="preserve"> = ( ----------------------------------------------------------------- x 100) x waga kryterium tj. 20 %</w:t>
      </w:r>
      <w:r w:rsidRPr="00F53983">
        <w:rPr>
          <w:b/>
          <w:sz w:val="22"/>
          <w:szCs w:val="22"/>
        </w:rPr>
        <w:br/>
        <w:t xml:space="preserve">             </w:t>
      </w:r>
      <w:r>
        <w:rPr>
          <w:b/>
          <w:sz w:val="22"/>
          <w:szCs w:val="22"/>
        </w:rPr>
        <w:t xml:space="preserve">         </w:t>
      </w:r>
      <w:r w:rsidRPr="00F53983">
        <w:rPr>
          <w:b/>
          <w:sz w:val="22"/>
          <w:szCs w:val="22"/>
        </w:rPr>
        <w:t>czas</w:t>
      </w:r>
      <w:r w:rsidRPr="00F53983">
        <w:rPr>
          <w:b/>
          <w:bCs/>
          <w:sz w:val="22"/>
          <w:szCs w:val="22"/>
        </w:rPr>
        <w:t xml:space="preserve"> reakcji serwisu</w:t>
      </w:r>
      <w:r w:rsidRPr="00F53983">
        <w:rPr>
          <w:b/>
          <w:sz w:val="22"/>
          <w:szCs w:val="22"/>
        </w:rPr>
        <w:t xml:space="preserve">  badanej oferty</w:t>
      </w:r>
    </w:p>
    <w:p w14:paraId="5C9115D1" w14:textId="77777777" w:rsidR="00CB66D9" w:rsidRDefault="00CB66D9" w:rsidP="00CB66D9">
      <w:pPr>
        <w:pStyle w:val="Akapitzlist"/>
        <w:shd w:val="clear" w:color="auto" w:fill="FFFFFF"/>
        <w:tabs>
          <w:tab w:val="left" w:pos="715"/>
        </w:tabs>
        <w:ind w:left="426"/>
        <w:jc w:val="both"/>
        <w:rPr>
          <w:sz w:val="22"/>
          <w:szCs w:val="22"/>
        </w:rPr>
      </w:pPr>
    </w:p>
    <w:p w14:paraId="44FED588" w14:textId="77777777" w:rsidR="00CB66D9" w:rsidRPr="00F53983" w:rsidRDefault="00CB66D9" w:rsidP="00CB66D9">
      <w:pPr>
        <w:pStyle w:val="Akapitzlist"/>
        <w:shd w:val="clear" w:color="auto" w:fill="FFFFFF"/>
        <w:tabs>
          <w:tab w:val="left" w:pos="715"/>
        </w:tabs>
        <w:ind w:left="426"/>
        <w:jc w:val="both"/>
        <w:rPr>
          <w:sz w:val="22"/>
          <w:szCs w:val="22"/>
        </w:rPr>
      </w:pPr>
      <w:r w:rsidRPr="00F53983">
        <w:rPr>
          <w:sz w:val="22"/>
          <w:szCs w:val="22"/>
        </w:rPr>
        <w:t xml:space="preserve">gdzie: </w:t>
      </w:r>
      <w:proofErr w:type="spellStart"/>
      <w:r w:rsidRPr="00F53983">
        <w:rPr>
          <w:sz w:val="22"/>
          <w:szCs w:val="22"/>
        </w:rPr>
        <w:t>Cz</w:t>
      </w:r>
      <w:proofErr w:type="spellEnd"/>
      <w:r w:rsidRPr="00F53983">
        <w:rPr>
          <w:sz w:val="22"/>
          <w:szCs w:val="22"/>
        </w:rPr>
        <w:t xml:space="preserve"> – wartość punktowa badanej oferty</w:t>
      </w:r>
    </w:p>
    <w:p w14:paraId="7F529DBE" w14:textId="77777777" w:rsidR="00CB66D9" w:rsidRPr="00F53983" w:rsidRDefault="00CB66D9" w:rsidP="00CB66D9">
      <w:pPr>
        <w:pStyle w:val="Akapitzlist"/>
        <w:shd w:val="clear" w:color="auto" w:fill="FFFFFF"/>
        <w:tabs>
          <w:tab w:val="left" w:pos="715"/>
        </w:tabs>
        <w:spacing w:before="240" w:after="100" w:afterAutospacing="1"/>
        <w:ind w:left="0"/>
        <w:jc w:val="both"/>
        <w:rPr>
          <w:b/>
          <w:color w:val="FF0000"/>
          <w:sz w:val="22"/>
          <w:szCs w:val="22"/>
        </w:rPr>
      </w:pPr>
      <w:r w:rsidRPr="00F53983">
        <w:rPr>
          <w:b/>
          <w:color w:val="FF0000"/>
          <w:sz w:val="22"/>
          <w:szCs w:val="22"/>
        </w:rPr>
        <w:t xml:space="preserve">UWAGA: </w:t>
      </w:r>
    </w:p>
    <w:p w14:paraId="728830AD" w14:textId="794E9F6C" w:rsidR="00D71033" w:rsidRDefault="00CB66D9" w:rsidP="00CB66D9">
      <w:pPr>
        <w:pStyle w:val="Akapitzlist"/>
        <w:shd w:val="clear" w:color="auto" w:fill="FFFFFF"/>
        <w:tabs>
          <w:tab w:val="left" w:pos="715"/>
        </w:tabs>
        <w:spacing w:before="240" w:after="100" w:afterAutospacing="1" w:line="276" w:lineRule="auto"/>
        <w:ind w:left="0"/>
        <w:jc w:val="both"/>
        <w:rPr>
          <w:color w:val="FF0000"/>
          <w:sz w:val="22"/>
          <w:szCs w:val="22"/>
          <w:shd w:val="clear" w:color="auto" w:fill="FFFFFF"/>
        </w:rPr>
      </w:pPr>
      <w:bookmarkStart w:id="6" w:name="_Hlk158629925"/>
      <w:r w:rsidRPr="00CB66D9">
        <w:rPr>
          <w:b/>
          <w:color w:val="FF0000"/>
          <w:sz w:val="22"/>
          <w:szCs w:val="22"/>
        </w:rPr>
        <w:t>*„Czas reakcji serwisu”</w:t>
      </w:r>
      <w:r w:rsidRPr="00CB66D9">
        <w:rPr>
          <w:color w:val="FF0000"/>
          <w:sz w:val="22"/>
          <w:szCs w:val="22"/>
        </w:rPr>
        <w:t xml:space="preserve">- </w:t>
      </w:r>
      <w:bookmarkEnd w:id="6"/>
      <w:r w:rsidRPr="00CB66D9">
        <w:rPr>
          <w:color w:val="FF0000"/>
          <w:sz w:val="22"/>
          <w:szCs w:val="22"/>
        </w:rPr>
        <w:t>to</w:t>
      </w:r>
      <w:r w:rsidRPr="00CB66D9">
        <w:rPr>
          <w:color w:val="FF0000"/>
          <w:sz w:val="22"/>
          <w:szCs w:val="22"/>
          <w:shd w:val="clear" w:color="auto" w:fill="FFFFFF"/>
        </w:rPr>
        <w:t xml:space="preserve"> czas w jakim Wykonawca </w:t>
      </w:r>
      <w:r w:rsidR="00D71033" w:rsidRPr="00D71033">
        <w:rPr>
          <w:color w:val="FF0000"/>
          <w:sz w:val="22"/>
          <w:szCs w:val="22"/>
          <w:shd w:val="clear" w:color="auto" w:fill="FFFFFF"/>
        </w:rPr>
        <w:t>w wypadku awarii</w:t>
      </w:r>
      <w:r w:rsidR="00D71033">
        <w:rPr>
          <w:color w:val="FF0000"/>
          <w:sz w:val="22"/>
          <w:szCs w:val="22"/>
          <w:shd w:val="clear" w:color="auto" w:fill="FFFFFF"/>
        </w:rPr>
        <w:t xml:space="preserve">, </w:t>
      </w:r>
      <w:r w:rsidRPr="00CB66D9">
        <w:rPr>
          <w:color w:val="FF0000"/>
          <w:sz w:val="22"/>
          <w:szCs w:val="22"/>
          <w:shd w:val="clear" w:color="auto" w:fill="FFFFFF"/>
        </w:rPr>
        <w:t>dokona naprawy lub wymiany części</w:t>
      </w:r>
      <w:r w:rsidR="00D71033">
        <w:rPr>
          <w:color w:val="FF0000"/>
          <w:sz w:val="22"/>
          <w:szCs w:val="22"/>
          <w:shd w:val="clear" w:color="auto" w:fill="FFFFFF"/>
        </w:rPr>
        <w:t>/podzespołu</w:t>
      </w:r>
      <w:r w:rsidRPr="00CB66D9">
        <w:rPr>
          <w:color w:val="FF0000"/>
          <w:sz w:val="22"/>
          <w:szCs w:val="22"/>
          <w:shd w:val="clear" w:color="auto" w:fill="FFFFFF"/>
        </w:rPr>
        <w:t xml:space="preserve"> na fabrycznie nową w okresie obowiązywania gwarancji tj. w okresie 24 miesięcy liczonych od dnia </w:t>
      </w:r>
      <w:r w:rsidRPr="00CB66D9">
        <w:rPr>
          <w:color w:val="FF0000"/>
          <w:sz w:val="22"/>
          <w:szCs w:val="22"/>
          <w:u w:val="single"/>
          <w:shd w:val="clear" w:color="auto" w:fill="FFFFFF"/>
        </w:rPr>
        <w:t>podpisania „Protokołu odbioru przedmiotu zamówienia bez uwag”</w:t>
      </w:r>
      <w:r w:rsidRPr="00CB66D9">
        <w:rPr>
          <w:color w:val="FF0000"/>
          <w:sz w:val="22"/>
          <w:szCs w:val="22"/>
          <w:shd w:val="clear" w:color="auto" w:fill="FFFFFF"/>
        </w:rPr>
        <w:t xml:space="preserve"> </w:t>
      </w:r>
      <w:r w:rsidR="00D71033">
        <w:rPr>
          <w:color w:val="FF0000"/>
          <w:sz w:val="22"/>
          <w:szCs w:val="22"/>
          <w:shd w:val="clear" w:color="auto" w:fill="FFFFFF"/>
        </w:rPr>
        <w:t>.</w:t>
      </w:r>
    </w:p>
    <w:p w14:paraId="368D034D" w14:textId="0B1DD2A9" w:rsidR="00CB66D9" w:rsidRPr="00CB66D9" w:rsidRDefault="00CB66D9" w:rsidP="00CB66D9">
      <w:pPr>
        <w:pStyle w:val="Akapitzlist"/>
        <w:shd w:val="clear" w:color="auto" w:fill="FFFFFF"/>
        <w:tabs>
          <w:tab w:val="left" w:pos="715"/>
        </w:tabs>
        <w:spacing w:before="240" w:after="100" w:afterAutospacing="1"/>
        <w:ind w:left="0"/>
        <w:jc w:val="both"/>
        <w:rPr>
          <w:color w:val="FF0000"/>
          <w:sz w:val="22"/>
          <w:szCs w:val="22"/>
          <w:shd w:val="clear" w:color="auto" w:fill="FFFFFF"/>
        </w:rPr>
      </w:pPr>
      <w:r w:rsidRPr="00CB66D9">
        <w:rPr>
          <w:color w:val="FF0000"/>
          <w:sz w:val="22"/>
          <w:szCs w:val="22"/>
          <w:shd w:val="clear" w:color="auto" w:fill="FFFFFF"/>
        </w:rPr>
        <w:t xml:space="preserve">Minimalny czas reakcji serwisu to </w:t>
      </w:r>
      <w:r w:rsidR="001B4EBB" w:rsidRPr="001B4EBB">
        <w:rPr>
          <w:b/>
          <w:bCs/>
          <w:color w:val="FF0000"/>
          <w:sz w:val="22"/>
          <w:szCs w:val="22"/>
          <w:shd w:val="clear" w:color="auto" w:fill="FFFFFF"/>
        </w:rPr>
        <w:t>7</w:t>
      </w:r>
      <w:r w:rsidRPr="00CB66D9">
        <w:rPr>
          <w:b/>
          <w:bCs/>
          <w:color w:val="FF0000"/>
          <w:sz w:val="22"/>
          <w:szCs w:val="22"/>
          <w:shd w:val="clear" w:color="auto" w:fill="FFFFFF"/>
        </w:rPr>
        <w:t xml:space="preserve"> godzin</w:t>
      </w:r>
      <w:r w:rsidRPr="00CB66D9">
        <w:rPr>
          <w:color w:val="FF0000"/>
          <w:sz w:val="22"/>
          <w:szCs w:val="22"/>
          <w:shd w:val="clear" w:color="auto" w:fill="FFFFFF"/>
        </w:rPr>
        <w:t xml:space="preserve"> a maksymalny czas reakcji serwisu to </w:t>
      </w:r>
      <w:r w:rsidR="001B4EBB">
        <w:rPr>
          <w:b/>
          <w:bCs/>
          <w:color w:val="FF0000"/>
          <w:sz w:val="22"/>
          <w:szCs w:val="22"/>
          <w:shd w:val="clear" w:color="auto" w:fill="FFFFFF"/>
        </w:rPr>
        <w:t>21</w:t>
      </w:r>
      <w:r w:rsidRPr="00CB66D9">
        <w:rPr>
          <w:b/>
          <w:bCs/>
          <w:color w:val="FF0000"/>
          <w:sz w:val="22"/>
          <w:szCs w:val="22"/>
          <w:shd w:val="clear" w:color="auto" w:fill="FFFFFF"/>
        </w:rPr>
        <w:t xml:space="preserve"> godziny</w:t>
      </w:r>
      <w:r w:rsidRPr="00CB66D9">
        <w:rPr>
          <w:color w:val="FF0000"/>
          <w:sz w:val="22"/>
          <w:szCs w:val="22"/>
          <w:shd w:val="clear" w:color="auto" w:fill="FFFFFF"/>
        </w:rPr>
        <w:t>.</w:t>
      </w:r>
    </w:p>
    <w:p w14:paraId="5AC484A0" w14:textId="77777777" w:rsidR="00CB66D9" w:rsidRPr="00CB66D9" w:rsidRDefault="00CB66D9" w:rsidP="00CB66D9">
      <w:pPr>
        <w:pStyle w:val="Akapitzlist"/>
        <w:shd w:val="clear" w:color="auto" w:fill="FFFFFF"/>
        <w:tabs>
          <w:tab w:val="left" w:pos="715"/>
        </w:tabs>
        <w:spacing w:after="100" w:afterAutospacing="1" w:line="276" w:lineRule="auto"/>
        <w:ind w:left="0"/>
        <w:jc w:val="both"/>
        <w:rPr>
          <w:color w:val="FF0000"/>
          <w:sz w:val="22"/>
          <w:szCs w:val="22"/>
        </w:rPr>
      </w:pPr>
      <w:r w:rsidRPr="00CB66D9">
        <w:rPr>
          <w:color w:val="FF0000"/>
          <w:sz w:val="22"/>
          <w:szCs w:val="22"/>
        </w:rPr>
        <w:t>Zamawiający wymaga podania czasu reakcji serwisu w pełnych godzinach (liczba całkowita).</w:t>
      </w:r>
    </w:p>
    <w:p w14:paraId="4020DE4B" w14:textId="77777777" w:rsidR="00CB66D9" w:rsidRPr="00CB66D9" w:rsidRDefault="00CB66D9" w:rsidP="00CB66D9">
      <w:pPr>
        <w:pStyle w:val="Akapitzlist"/>
        <w:shd w:val="clear" w:color="auto" w:fill="FFFFFF"/>
        <w:tabs>
          <w:tab w:val="left" w:pos="715"/>
        </w:tabs>
        <w:spacing w:before="240" w:after="100" w:afterAutospacing="1"/>
        <w:ind w:left="0"/>
        <w:jc w:val="both"/>
        <w:rPr>
          <w:color w:val="FF0000"/>
          <w:sz w:val="22"/>
          <w:szCs w:val="22"/>
        </w:rPr>
      </w:pPr>
      <w:r w:rsidRPr="00CB66D9">
        <w:rPr>
          <w:color w:val="FF0000"/>
          <w:sz w:val="22"/>
          <w:szCs w:val="22"/>
        </w:rPr>
        <w:t xml:space="preserve">Oferta nie może być opatrzona czasem reakcji serwisu innym niż z </w:t>
      </w:r>
      <w:proofErr w:type="spellStart"/>
      <w:r w:rsidRPr="00CB66D9">
        <w:rPr>
          <w:color w:val="FF0000"/>
          <w:sz w:val="22"/>
          <w:szCs w:val="22"/>
        </w:rPr>
        <w:t>ww</w:t>
      </w:r>
      <w:proofErr w:type="spellEnd"/>
      <w:r w:rsidRPr="00CB66D9">
        <w:rPr>
          <w:color w:val="FF0000"/>
          <w:sz w:val="22"/>
          <w:szCs w:val="22"/>
        </w:rPr>
        <w:t xml:space="preserve"> zakresu, gdyż będzie niezgodna z SWZ</w:t>
      </w:r>
      <w:r w:rsidRPr="00CB66D9">
        <w:rPr>
          <w:color w:val="FF0000"/>
          <w:sz w:val="22"/>
          <w:szCs w:val="22"/>
        </w:rPr>
        <w:br/>
        <w:t xml:space="preserve">i zostanie odrzucona na podstawie art. 226 ust.1 pkt 5 ustawy </w:t>
      </w:r>
      <w:proofErr w:type="spellStart"/>
      <w:r w:rsidRPr="00CB66D9">
        <w:rPr>
          <w:color w:val="FF0000"/>
          <w:sz w:val="22"/>
          <w:szCs w:val="22"/>
        </w:rPr>
        <w:t>Pzp</w:t>
      </w:r>
      <w:proofErr w:type="spellEnd"/>
      <w:r w:rsidRPr="00CB66D9">
        <w:rPr>
          <w:color w:val="FF0000"/>
          <w:sz w:val="22"/>
          <w:szCs w:val="22"/>
        </w:rPr>
        <w:t>.</w:t>
      </w:r>
    </w:p>
    <w:p w14:paraId="47FCB9DD" w14:textId="590CF552" w:rsidR="00CB66D9" w:rsidRPr="00CB66D9" w:rsidRDefault="00CB66D9" w:rsidP="00CB66D9">
      <w:pPr>
        <w:pStyle w:val="Akapitzlist"/>
        <w:shd w:val="clear" w:color="auto" w:fill="FFFFFF"/>
        <w:tabs>
          <w:tab w:val="left" w:pos="715"/>
        </w:tabs>
        <w:spacing w:before="240" w:after="100" w:afterAutospacing="1"/>
        <w:ind w:left="0"/>
        <w:jc w:val="both"/>
        <w:rPr>
          <w:color w:val="FF0000"/>
          <w:sz w:val="22"/>
          <w:szCs w:val="22"/>
        </w:rPr>
      </w:pPr>
      <w:r w:rsidRPr="00CB66D9">
        <w:rPr>
          <w:color w:val="FF0000"/>
          <w:sz w:val="22"/>
          <w:szCs w:val="22"/>
        </w:rPr>
        <w:t xml:space="preserve">W przypadku nie wskazania przez Wykonawcę w Formularzu Ofertowym oferowanego czasu reakcji serwisu, Zamawiający do obliczenia liczby punktów w kryterium </w:t>
      </w:r>
      <w:r w:rsidRPr="00CB66D9">
        <w:rPr>
          <w:b/>
          <w:color w:val="FF0000"/>
          <w:sz w:val="22"/>
          <w:szCs w:val="22"/>
        </w:rPr>
        <w:t>„Czas reakcji serwisu”</w:t>
      </w:r>
      <w:r w:rsidRPr="00CB66D9">
        <w:rPr>
          <w:color w:val="FF0000"/>
          <w:sz w:val="22"/>
          <w:szCs w:val="22"/>
        </w:rPr>
        <w:t xml:space="preserve">-” przyjmie najdłuższy możliwy  czas reakcji serwisu, tj. </w:t>
      </w:r>
      <w:r w:rsidR="001B4EBB">
        <w:rPr>
          <w:color w:val="FF0000"/>
          <w:sz w:val="22"/>
          <w:szCs w:val="22"/>
        </w:rPr>
        <w:t>21</w:t>
      </w:r>
      <w:r w:rsidRPr="00CB66D9">
        <w:rPr>
          <w:color w:val="FF0000"/>
          <w:sz w:val="22"/>
          <w:szCs w:val="22"/>
        </w:rPr>
        <w:t xml:space="preserve"> godziny.</w:t>
      </w:r>
    </w:p>
    <w:p w14:paraId="45732C3A" w14:textId="77777777" w:rsidR="00CB66D9" w:rsidRPr="00CB66D9" w:rsidRDefault="00CB66D9" w:rsidP="00CB66D9">
      <w:pPr>
        <w:pStyle w:val="Akapitzlist"/>
        <w:shd w:val="clear" w:color="auto" w:fill="FFFFFF"/>
        <w:tabs>
          <w:tab w:val="left" w:pos="715"/>
        </w:tabs>
        <w:spacing w:before="240" w:after="100" w:afterAutospacing="1"/>
        <w:ind w:left="0"/>
        <w:jc w:val="both"/>
        <w:rPr>
          <w:color w:val="FF0000"/>
          <w:sz w:val="22"/>
          <w:szCs w:val="22"/>
        </w:rPr>
      </w:pPr>
      <w:r w:rsidRPr="00CB66D9">
        <w:rPr>
          <w:color w:val="FF0000"/>
          <w:sz w:val="22"/>
          <w:szCs w:val="22"/>
        </w:rPr>
        <w:t xml:space="preserve">Oferta z najwyższą ilością punktów przyznanych za parametr podlegający ocenie otrzyma maksymalną liczbę punktów w kryterium </w:t>
      </w:r>
      <w:r w:rsidRPr="00CB66D9">
        <w:rPr>
          <w:bCs/>
          <w:color w:val="FF0000"/>
          <w:sz w:val="22"/>
          <w:szCs w:val="22"/>
        </w:rPr>
        <w:t>„Czas reakcji serwisu”</w:t>
      </w:r>
      <w:r w:rsidRPr="00CB66D9">
        <w:rPr>
          <w:color w:val="FF0000"/>
          <w:sz w:val="22"/>
          <w:szCs w:val="22"/>
        </w:rPr>
        <w:t>, a pozostałym ofertom przypisana zostanie odpowiednio mniejsza liczba punktów.</w:t>
      </w:r>
    </w:p>
    <w:p w14:paraId="6E7477D9" w14:textId="77777777" w:rsidR="00CB66D9" w:rsidRPr="00F53983" w:rsidRDefault="00CB66D9" w:rsidP="00CB66D9">
      <w:pPr>
        <w:pStyle w:val="Akapitzlist"/>
        <w:shd w:val="clear" w:color="auto" w:fill="FFFFFF"/>
        <w:tabs>
          <w:tab w:val="left" w:pos="284"/>
        </w:tabs>
        <w:spacing w:before="240" w:after="100" w:afterAutospacing="1"/>
        <w:ind w:left="0"/>
        <w:jc w:val="both"/>
        <w:rPr>
          <w:sz w:val="22"/>
          <w:szCs w:val="22"/>
        </w:rPr>
      </w:pPr>
      <w:r w:rsidRPr="00F53983">
        <w:rPr>
          <w:sz w:val="22"/>
          <w:szCs w:val="22"/>
        </w:rPr>
        <w:t>3)</w:t>
      </w:r>
      <w:r w:rsidRPr="00F53983">
        <w:rPr>
          <w:sz w:val="22"/>
          <w:szCs w:val="22"/>
        </w:rPr>
        <w:tab/>
        <w:t xml:space="preserve"> </w:t>
      </w:r>
      <w:r w:rsidRPr="00F53983">
        <w:rPr>
          <w:b/>
          <w:sz w:val="22"/>
          <w:szCs w:val="22"/>
        </w:rPr>
        <w:t>Kryterium „</w:t>
      </w:r>
      <w:r>
        <w:rPr>
          <w:b/>
          <w:sz w:val="22"/>
          <w:szCs w:val="22"/>
        </w:rPr>
        <w:t>T</w:t>
      </w:r>
      <w:r w:rsidRPr="00F53983">
        <w:rPr>
          <w:b/>
          <w:sz w:val="22"/>
          <w:szCs w:val="22"/>
        </w:rPr>
        <w:t>ermin dostawy”</w:t>
      </w:r>
      <w:r w:rsidRPr="00F53983">
        <w:rPr>
          <w:sz w:val="22"/>
          <w:szCs w:val="22"/>
        </w:rPr>
        <w:t>- ocena dokonana zostanie na podstawie informacji o terminie dostawy wskazanym przez Wykonawcę w Formularzu ofertowym stanowiącym załącznik nr 1 do SWZ i przeliczona według wzoru:</w:t>
      </w:r>
    </w:p>
    <w:p w14:paraId="0526A451" w14:textId="77777777" w:rsidR="00CB66D9" w:rsidRPr="00F53983" w:rsidRDefault="00CB66D9" w:rsidP="00CB66D9">
      <w:pPr>
        <w:pStyle w:val="Akapitzlist"/>
        <w:shd w:val="clear" w:color="auto" w:fill="FFFFFF"/>
        <w:tabs>
          <w:tab w:val="left" w:pos="715"/>
        </w:tabs>
        <w:ind w:left="0"/>
        <w:rPr>
          <w:b/>
          <w:sz w:val="22"/>
          <w:szCs w:val="22"/>
        </w:rPr>
      </w:pPr>
      <w:r w:rsidRPr="00F53983">
        <w:rPr>
          <w:b/>
          <w:sz w:val="22"/>
          <w:szCs w:val="22"/>
        </w:rPr>
        <w:lastRenderedPageBreak/>
        <w:t xml:space="preserve">                 </w:t>
      </w:r>
      <w:r>
        <w:rPr>
          <w:b/>
          <w:sz w:val="22"/>
          <w:szCs w:val="22"/>
        </w:rPr>
        <w:t xml:space="preserve">     </w:t>
      </w:r>
      <w:r w:rsidRPr="00F53983">
        <w:rPr>
          <w:b/>
          <w:sz w:val="22"/>
          <w:szCs w:val="22"/>
        </w:rPr>
        <w:t xml:space="preserve"> Najkrótszy  proponowany czas dostawy</w:t>
      </w:r>
      <w:r>
        <w:rPr>
          <w:b/>
          <w:sz w:val="22"/>
          <w:szCs w:val="22"/>
        </w:rPr>
        <w:br/>
        <w:t xml:space="preserve">                       </w:t>
      </w:r>
      <w:r w:rsidRPr="00F53983">
        <w:rPr>
          <w:b/>
          <w:sz w:val="22"/>
          <w:szCs w:val="22"/>
        </w:rPr>
        <w:t>pośród ocenianych ofert</w:t>
      </w:r>
    </w:p>
    <w:p w14:paraId="367A5ADE" w14:textId="77777777" w:rsidR="00CB66D9" w:rsidRPr="00F53983" w:rsidRDefault="00CB66D9" w:rsidP="00CB66D9">
      <w:pPr>
        <w:pStyle w:val="Akapitzlist"/>
        <w:shd w:val="clear" w:color="auto" w:fill="FFFFFF"/>
        <w:tabs>
          <w:tab w:val="left" w:pos="715"/>
        </w:tabs>
        <w:ind w:left="426"/>
        <w:jc w:val="both"/>
        <w:rPr>
          <w:b/>
          <w:sz w:val="22"/>
          <w:szCs w:val="22"/>
        </w:rPr>
      </w:pPr>
      <w:r w:rsidRPr="00F53983">
        <w:rPr>
          <w:b/>
          <w:sz w:val="22"/>
          <w:szCs w:val="22"/>
        </w:rPr>
        <w:t>T = ( ---------------------------------------------------------- x 100) x waga kryterium tj. 20 %</w:t>
      </w:r>
      <w:r w:rsidRPr="00F53983">
        <w:rPr>
          <w:b/>
          <w:sz w:val="22"/>
          <w:szCs w:val="22"/>
        </w:rPr>
        <w:br/>
        <w:t xml:space="preserve">                         Czas dostawy badanej oferty</w:t>
      </w:r>
    </w:p>
    <w:p w14:paraId="0EFCCD45" w14:textId="77777777" w:rsidR="00CB66D9" w:rsidRPr="00F53983" w:rsidRDefault="00CB66D9" w:rsidP="00CB66D9">
      <w:pPr>
        <w:pStyle w:val="Akapitzlist"/>
        <w:shd w:val="clear" w:color="auto" w:fill="FFFFFF"/>
        <w:tabs>
          <w:tab w:val="left" w:pos="715"/>
        </w:tabs>
        <w:spacing w:before="240" w:after="100" w:afterAutospacing="1"/>
        <w:ind w:left="426"/>
        <w:jc w:val="both"/>
        <w:rPr>
          <w:sz w:val="22"/>
          <w:szCs w:val="22"/>
        </w:rPr>
      </w:pPr>
      <w:r w:rsidRPr="00F53983">
        <w:rPr>
          <w:sz w:val="22"/>
          <w:szCs w:val="22"/>
        </w:rPr>
        <w:t>gdzie: T – wartość punktowa badanej oferty</w:t>
      </w:r>
    </w:p>
    <w:p w14:paraId="135B82A5" w14:textId="77777777" w:rsidR="00CB66D9" w:rsidRPr="00F53983" w:rsidRDefault="00CB66D9" w:rsidP="00CB66D9">
      <w:pPr>
        <w:pStyle w:val="Akapitzlist"/>
        <w:shd w:val="clear" w:color="auto" w:fill="FFFFFF"/>
        <w:tabs>
          <w:tab w:val="left" w:pos="715"/>
        </w:tabs>
        <w:spacing w:line="276" w:lineRule="auto"/>
        <w:ind w:left="426" w:hanging="426"/>
        <w:jc w:val="both"/>
        <w:rPr>
          <w:b/>
          <w:color w:val="FF0000"/>
          <w:sz w:val="22"/>
          <w:szCs w:val="22"/>
        </w:rPr>
      </w:pPr>
      <w:r w:rsidRPr="00F53983">
        <w:rPr>
          <w:b/>
          <w:color w:val="FF0000"/>
          <w:sz w:val="22"/>
          <w:szCs w:val="22"/>
        </w:rPr>
        <w:t xml:space="preserve">UWAGA: </w:t>
      </w:r>
    </w:p>
    <w:p w14:paraId="38AFBEB8" w14:textId="57F61536" w:rsidR="00CB66D9" w:rsidRPr="00F53983" w:rsidRDefault="00CB66D9" w:rsidP="00CB66D9">
      <w:pPr>
        <w:pStyle w:val="Akapitzlist"/>
        <w:shd w:val="clear" w:color="auto" w:fill="FFFFFF"/>
        <w:tabs>
          <w:tab w:val="left" w:pos="715"/>
        </w:tabs>
        <w:spacing w:after="100" w:afterAutospacing="1" w:line="276" w:lineRule="auto"/>
        <w:ind w:left="0"/>
        <w:jc w:val="both"/>
        <w:rPr>
          <w:sz w:val="22"/>
          <w:szCs w:val="22"/>
        </w:rPr>
      </w:pPr>
      <w:r w:rsidRPr="00F53983">
        <w:rPr>
          <w:sz w:val="22"/>
          <w:szCs w:val="22"/>
        </w:rPr>
        <w:t xml:space="preserve">Minimalny termin dostawy to </w:t>
      </w:r>
      <w:r>
        <w:rPr>
          <w:b/>
          <w:bCs/>
          <w:sz w:val="22"/>
          <w:szCs w:val="22"/>
        </w:rPr>
        <w:t>30</w:t>
      </w:r>
      <w:r w:rsidRPr="00F53983">
        <w:rPr>
          <w:b/>
          <w:bCs/>
          <w:sz w:val="22"/>
          <w:szCs w:val="22"/>
        </w:rPr>
        <w:t xml:space="preserve"> dni kalendarzowe</w:t>
      </w:r>
      <w:r w:rsidRPr="00F53983">
        <w:rPr>
          <w:sz w:val="22"/>
          <w:szCs w:val="22"/>
        </w:rPr>
        <w:t xml:space="preserve"> a maksymalny termin dostawy to </w:t>
      </w:r>
      <w:r>
        <w:rPr>
          <w:b/>
          <w:sz w:val="22"/>
          <w:szCs w:val="22"/>
        </w:rPr>
        <w:t>40</w:t>
      </w:r>
      <w:r w:rsidRPr="00F53983">
        <w:rPr>
          <w:b/>
          <w:sz w:val="22"/>
          <w:szCs w:val="22"/>
        </w:rPr>
        <w:t xml:space="preserve"> dni kalendarzowych,</w:t>
      </w:r>
      <w:r w:rsidRPr="00F53983">
        <w:rPr>
          <w:sz w:val="22"/>
          <w:szCs w:val="22"/>
        </w:rPr>
        <w:t xml:space="preserve"> liczonych </w:t>
      </w:r>
      <w:r w:rsidRPr="00F53983">
        <w:rPr>
          <w:sz w:val="22"/>
          <w:szCs w:val="22"/>
          <w:u w:val="single"/>
        </w:rPr>
        <w:t xml:space="preserve">od dnia </w:t>
      </w:r>
      <w:r>
        <w:rPr>
          <w:sz w:val="22"/>
          <w:szCs w:val="22"/>
          <w:u w:val="single"/>
        </w:rPr>
        <w:t>zawarcia</w:t>
      </w:r>
      <w:r w:rsidRPr="00F53983">
        <w:rPr>
          <w:sz w:val="22"/>
          <w:szCs w:val="22"/>
          <w:u w:val="single"/>
        </w:rPr>
        <w:t xml:space="preserve"> umowy</w:t>
      </w:r>
      <w:r w:rsidRPr="00F53983">
        <w:rPr>
          <w:sz w:val="22"/>
          <w:szCs w:val="22"/>
        </w:rPr>
        <w:t>. Zamawiający wymaga podania terminu wykonania zamówienia w pełnych dniach (liczba całkowita).</w:t>
      </w:r>
    </w:p>
    <w:p w14:paraId="49347D53" w14:textId="77777777"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Oferta nie może być opatrzona okresem gwarancji innym niż z tego zakresu, gdyż będzie niezgodna z SWZ</w:t>
      </w:r>
      <w:r w:rsidRPr="00F53983">
        <w:rPr>
          <w:sz w:val="22"/>
          <w:szCs w:val="22"/>
        </w:rPr>
        <w:br/>
        <w:t xml:space="preserve">i zostanie odrzucona na podstawie art. 226 ust.1 pkt 5 ustawy </w:t>
      </w:r>
      <w:proofErr w:type="spellStart"/>
      <w:r w:rsidRPr="00F53983">
        <w:rPr>
          <w:sz w:val="22"/>
          <w:szCs w:val="22"/>
        </w:rPr>
        <w:t>Pzp</w:t>
      </w:r>
      <w:proofErr w:type="spellEnd"/>
      <w:r w:rsidRPr="00F53983">
        <w:rPr>
          <w:sz w:val="22"/>
          <w:szCs w:val="22"/>
        </w:rPr>
        <w:t>.</w:t>
      </w:r>
    </w:p>
    <w:p w14:paraId="7DB8A2E1" w14:textId="0B7C5D1B"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 xml:space="preserve">W przypadku nie wskazania przez Wykonawcę w Formularzu Ofertowym oferowanego terminu wykonaniu dostawy, Zamawiający do obliczenia liczby punktów w kryterium „termin dostawy” przyjmie najdłuższy możliwy termin dostawy, tj. </w:t>
      </w:r>
      <w:r w:rsidRPr="00CB66D9">
        <w:rPr>
          <w:sz w:val="22"/>
          <w:szCs w:val="22"/>
          <w:u w:val="single"/>
        </w:rPr>
        <w:t>40 dni kalendarzowe.</w:t>
      </w:r>
    </w:p>
    <w:p w14:paraId="2F4D87C0" w14:textId="77777777"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Oferta z najwyższą ilością punktów przyznanych za parametr podlegający ocenie otrzyma maksymalną liczbę punktów w kryterium termin dostawy, a pozostałym ofertom przypisana zostanie odpowiednio mniejsza liczba punktów.</w:t>
      </w:r>
    </w:p>
    <w:p w14:paraId="4C5DADE3" w14:textId="77777777"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3. Punktacja przyznawana ofertom w poszczególnych kryteriach oceny ofert będzie liczona z dokładnością do dwóch miejsc po przecinku, zgodnie z zasadami arytmetyki.</w:t>
      </w:r>
    </w:p>
    <w:p w14:paraId="40E4AED6" w14:textId="77777777"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4. W toku badania i oceny ofert Zamawiający może żądać od Wykonawcy wyjaśnień dotyczących treści złożonej oferty, w tym zaoferowanej ceny.</w:t>
      </w:r>
    </w:p>
    <w:p w14:paraId="20142BA0" w14:textId="77777777" w:rsidR="00CB66D9" w:rsidRPr="00F53983" w:rsidRDefault="00CB66D9" w:rsidP="00CB66D9">
      <w:pPr>
        <w:pStyle w:val="Akapitzlist"/>
        <w:shd w:val="clear" w:color="auto" w:fill="FFFFFF"/>
        <w:tabs>
          <w:tab w:val="left" w:pos="715"/>
        </w:tabs>
        <w:spacing w:before="240" w:after="100" w:afterAutospacing="1"/>
        <w:ind w:left="0"/>
        <w:jc w:val="both"/>
        <w:rPr>
          <w:sz w:val="22"/>
          <w:szCs w:val="22"/>
        </w:rPr>
      </w:pPr>
      <w:r w:rsidRPr="00F53983">
        <w:rPr>
          <w:sz w:val="22"/>
          <w:szCs w:val="22"/>
        </w:rPr>
        <w:t>5. 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lastRenderedPageBreak/>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A96F81">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D4210">
        <w:rPr>
          <w:sz w:val="22"/>
          <w:szCs w:val="22"/>
        </w:rPr>
        <w:t>Pzp</w:t>
      </w:r>
      <w:proofErr w:type="spellEnd"/>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D4210">
        <w:rPr>
          <w:sz w:val="22"/>
          <w:szCs w:val="22"/>
        </w:rPr>
        <w:t>Pzp</w:t>
      </w:r>
      <w:proofErr w:type="spellEnd"/>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proofErr w:type="spellStart"/>
      <w:r w:rsidR="00784495" w:rsidRPr="005D4210">
        <w:rPr>
          <w:sz w:val="22"/>
          <w:szCs w:val="22"/>
        </w:rPr>
        <w:t>Pzp</w:t>
      </w:r>
      <w:proofErr w:type="spellEnd"/>
      <w:r w:rsidR="00784495" w:rsidRPr="005D4210">
        <w:rPr>
          <w:sz w:val="22"/>
          <w:szCs w:val="22"/>
        </w:rPr>
        <w:t>.</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D4210">
        <w:rPr>
          <w:sz w:val="22"/>
          <w:szCs w:val="22"/>
        </w:rPr>
        <w:t>Pzp</w:t>
      </w:r>
      <w:proofErr w:type="spellEnd"/>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10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49"/>
      </w:tblGrid>
      <w:tr w:rsidR="00760056" w:rsidRPr="005D4210" w14:paraId="2FCCAB5E" w14:textId="77777777" w:rsidTr="00EB303A">
        <w:trPr>
          <w:trHeight w:val="310"/>
        </w:trPr>
        <w:tc>
          <w:tcPr>
            <w:tcW w:w="1560" w:type="dxa"/>
          </w:tcPr>
          <w:p w14:paraId="3475CEB2" w14:textId="77777777" w:rsidR="00760056" w:rsidRPr="00EB303A" w:rsidRDefault="00760056" w:rsidP="00A47E18">
            <w:pPr>
              <w:suppressAutoHyphens/>
              <w:spacing w:before="240" w:line="276" w:lineRule="auto"/>
              <w:rPr>
                <w:sz w:val="20"/>
                <w:szCs w:val="20"/>
              </w:rPr>
            </w:pPr>
            <w:r w:rsidRPr="00EB303A">
              <w:rPr>
                <w:sz w:val="20"/>
                <w:szCs w:val="20"/>
              </w:rPr>
              <w:t>Załącznik nr 1</w:t>
            </w:r>
          </w:p>
        </w:tc>
        <w:tc>
          <w:tcPr>
            <w:tcW w:w="8549" w:type="dxa"/>
          </w:tcPr>
          <w:p w14:paraId="26874E1E" w14:textId="77777777" w:rsidR="00760056" w:rsidRPr="00EB303A" w:rsidRDefault="00760056" w:rsidP="00A47E18">
            <w:pPr>
              <w:suppressAutoHyphens/>
              <w:spacing w:before="240" w:line="276" w:lineRule="auto"/>
              <w:rPr>
                <w:sz w:val="20"/>
                <w:szCs w:val="20"/>
              </w:rPr>
            </w:pPr>
            <w:r w:rsidRPr="00EB303A">
              <w:rPr>
                <w:sz w:val="20"/>
                <w:szCs w:val="20"/>
              </w:rPr>
              <w:t>Formularz Ofertowy</w:t>
            </w:r>
            <w:r w:rsidR="00BE784F" w:rsidRPr="00EB303A">
              <w:rPr>
                <w:sz w:val="20"/>
                <w:szCs w:val="20"/>
              </w:rPr>
              <w:t xml:space="preserve"> </w:t>
            </w:r>
          </w:p>
        </w:tc>
      </w:tr>
      <w:tr w:rsidR="00760056" w:rsidRPr="005D4210" w14:paraId="7B0D342A" w14:textId="77777777" w:rsidTr="00EB303A">
        <w:trPr>
          <w:trHeight w:val="359"/>
        </w:trPr>
        <w:tc>
          <w:tcPr>
            <w:tcW w:w="1560" w:type="dxa"/>
          </w:tcPr>
          <w:p w14:paraId="59D70027" w14:textId="77777777" w:rsidR="00760056" w:rsidRPr="00EB303A" w:rsidRDefault="00760056" w:rsidP="00A47E18">
            <w:pPr>
              <w:suppressAutoHyphens/>
              <w:spacing w:line="276" w:lineRule="auto"/>
              <w:rPr>
                <w:sz w:val="20"/>
                <w:szCs w:val="20"/>
              </w:rPr>
            </w:pPr>
            <w:r w:rsidRPr="00EB303A">
              <w:rPr>
                <w:sz w:val="20"/>
                <w:szCs w:val="20"/>
              </w:rPr>
              <w:t>Załącznik nr 2</w:t>
            </w:r>
          </w:p>
        </w:tc>
        <w:tc>
          <w:tcPr>
            <w:tcW w:w="8549" w:type="dxa"/>
          </w:tcPr>
          <w:p w14:paraId="282DAB31" w14:textId="6246FF73" w:rsidR="00760056" w:rsidRPr="00EB303A" w:rsidRDefault="00760056" w:rsidP="00A47E18">
            <w:pPr>
              <w:suppressAutoHyphens/>
              <w:spacing w:line="276" w:lineRule="auto"/>
              <w:rPr>
                <w:sz w:val="20"/>
                <w:szCs w:val="20"/>
              </w:rPr>
            </w:pPr>
            <w:r w:rsidRPr="00EB303A">
              <w:rPr>
                <w:sz w:val="20"/>
                <w:szCs w:val="20"/>
              </w:rPr>
              <w:t xml:space="preserve">Oświadczenie o braku podstaw do wykluczenia </w:t>
            </w:r>
            <w:r w:rsidR="000453E6" w:rsidRPr="00EB303A">
              <w:rPr>
                <w:sz w:val="20"/>
                <w:szCs w:val="20"/>
              </w:rPr>
              <w:t xml:space="preserve">oraz </w:t>
            </w:r>
            <w:r w:rsidRPr="00EB303A">
              <w:rPr>
                <w:sz w:val="20"/>
                <w:szCs w:val="20"/>
              </w:rPr>
              <w:t>o spełnianiu warunków udziału w postępowaniu</w:t>
            </w:r>
          </w:p>
        </w:tc>
      </w:tr>
      <w:tr w:rsidR="000453E6" w:rsidRPr="005D4210" w14:paraId="0947BAEE" w14:textId="77777777" w:rsidTr="00EB303A">
        <w:trPr>
          <w:trHeight w:val="377"/>
        </w:trPr>
        <w:tc>
          <w:tcPr>
            <w:tcW w:w="1560" w:type="dxa"/>
          </w:tcPr>
          <w:p w14:paraId="7799CA44" w14:textId="273C9406" w:rsidR="000453E6" w:rsidRPr="00EB303A" w:rsidRDefault="000453E6" w:rsidP="000453E6">
            <w:pPr>
              <w:suppressAutoHyphens/>
              <w:spacing w:line="276" w:lineRule="auto"/>
              <w:rPr>
                <w:sz w:val="20"/>
                <w:szCs w:val="20"/>
              </w:rPr>
            </w:pPr>
            <w:r w:rsidRPr="00EB303A">
              <w:rPr>
                <w:sz w:val="20"/>
                <w:szCs w:val="20"/>
              </w:rPr>
              <w:t>Załącznik nr 2a</w:t>
            </w:r>
          </w:p>
        </w:tc>
        <w:tc>
          <w:tcPr>
            <w:tcW w:w="8549" w:type="dxa"/>
          </w:tcPr>
          <w:p w14:paraId="61F18352" w14:textId="766815E8" w:rsidR="000453E6" w:rsidRPr="00EB303A" w:rsidRDefault="000453E6" w:rsidP="000453E6">
            <w:pPr>
              <w:suppressAutoHyphens/>
              <w:spacing w:line="276" w:lineRule="auto"/>
              <w:rPr>
                <w:sz w:val="20"/>
                <w:szCs w:val="20"/>
              </w:rPr>
            </w:pPr>
            <w:r w:rsidRPr="00EB303A">
              <w:rPr>
                <w:sz w:val="20"/>
                <w:szCs w:val="20"/>
              </w:rPr>
              <w:t>Oświadczenie Wykonawców wspólnie ubiegających się o udzielenie zamówienie</w:t>
            </w:r>
          </w:p>
        </w:tc>
      </w:tr>
      <w:tr w:rsidR="000453E6" w:rsidRPr="005D4210" w14:paraId="665AA17E" w14:textId="77777777" w:rsidTr="00EB303A">
        <w:trPr>
          <w:trHeight w:val="412"/>
        </w:trPr>
        <w:tc>
          <w:tcPr>
            <w:tcW w:w="1560" w:type="dxa"/>
          </w:tcPr>
          <w:p w14:paraId="44972665" w14:textId="77777777" w:rsidR="000453E6" w:rsidRPr="00EB303A" w:rsidRDefault="000453E6" w:rsidP="000453E6">
            <w:pPr>
              <w:suppressAutoHyphens/>
              <w:spacing w:line="276" w:lineRule="auto"/>
              <w:rPr>
                <w:sz w:val="20"/>
                <w:szCs w:val="20"/>
              </w:rPr>
            </w:pPr>
            <w:r w:rsidRPr="00EB303A">
              <w:rPr>
                <w:sz w:val="20"/>
                <w:szCs w:val="20"/>
              </w:rPr>
              <w:t>Załącznik nr 3</w:t>
            </w:r>
          </w:p>
        </w:tc>
        <w:tc>
          <w:tcPr>
            <w:tcW w:w="8549" w:type="dxa"/>
          </w:tcPr>
          <w:p w14:paraId="75A8C356" w14:textId="0412CA4F" w:rsidR="000453E6" w:rsidRPr="00EB303A" w:rsidRDefault="000453E6" w:rsidP="000453E6">
            <w:pPr>
              <w:suppressAutoHyphens/>
              <w:spacing w:line="276" w:lineRule="auto"/>
              <w:rPr>
                <w:sz w:val="20"/>
                <w:szCs w:val="20"/>
              </w:rPr>
            </w:pPr>
            <w:r w:rsidRPr="00EB303A">
              <w:rPr>
                <w:sz w:val="20"/>
                <w:szCs w:val="20"/>
              </w:rPr>
              <w:t>Formularz przedmiotowo-cenowy</w:t>
            </w:r>
          </w:p>
        </w:tc>
      </w:tr>
      <w:tr w:rsidR="000453E6" w:rsidRPr="005D4210" w14:paraId="4D55DFA0" w14:textId="77777777" w:rsidTr="00EB303A">
        <w:trPr>
          <w:trHeight w:val="425"/>
        </w:trPr>
        <w:tc>
          <w:tcPr>
            <w:tcW w:w="1560" w:type="dxa"/>
          </w:tcPr>
          <w:p w14:paraId="0CB037AD" w14:textId="5BA9E6A6" w:rsidR="000453E6" w:rsidRPr="00EB303A" w:rsidRDefault="000453E6" w:rsidP="000453E6">
            <w:pPr>
              <w:suppressAutoHyphens/>
              <w:spacing w:line="276" w:lineRule="auto"/>
              <w:rPr>
                <w:sz w:val="20"/>
                <w:szCs w:val="20"/>
              </w:rPr>
            </w:pPr>
            <w:r w:rsidRPr="00EB303A">
              <w:rPr>
                <w:sz w:val="20"/>
                <w:szCs w:val="20"/>
              </w:rPr>
              <w:t xml:space="preserve">Załącznik nr </w:t>
            </w:r>
            <w:r w:rsidR="0060147D" w:rsidRPr="00EB303A">
              <w:rPr>
                <w:sz w:val="20"/>
                <w:szCs w:val="20"/>
              </w:rPr>
              <w:t>4</w:t>
            </w:r>
          </w:p>
        </w:tc>
        <w:tc>
          <w:tcPr>
            <w:tcW w:w="8549" w:type="dxa"/>
          </w:tcPr>
          <w:p w14:paraId="5F54A54A" w14:textId="254D44C4" w:rsidR="000453E6" w:rsidRPr="00EB303A" w:rsidRDefault="00443FAC" w:rsidP="000453E6">
            <w:pPr>
              <w:suppressAutoHyphens/>
              <w:spacing w:line="276" w:lineRule="auto"/>
              <w:rPr>
                <w:sz w:val="20"/>
                <w:szCs w:val="20"/>
              </w:rPr>
            </w:pPr>
            <w:r w:rsidRPr="00EB303A">
              <w:rPr>
                <w:sz w:val="20"/>
                <w:szCs w:val="20"/>
              </w:rPr>
              <w:t>U</w:t>
            </w:r>
            <w:r w:rsidR="000453E6" w:rsidRPr="00EB303A">
              <w:rPr>
                <w:sz w:val="20"/>
                <w:szCs w:val="20"/>
              </w:rPr>
              <w:t>mow</w:t>
            </w:r>
            <w:r w:rsidRPr="00EB303A">
              <w:rPr>
                <w:sz w:val="20"/>
                <w:szCs w:val="20"/>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38655902"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488B786F" w:rsidR="008B1E6B" w:rsidRPr="005D4210" w:rsidRDefault="00CB66D9" w:rsidP="00A47E18">
      <w:pPr>
        <w:tabs>
          <w:tab w:val="num" w:pos="0"/>
        </w:tabs>
        <w:suppressAutoHyphens/>
        <w:spacing w:line="276" w:lineRule="auto"/>
        <w:ind w:left="709" w:hanging="709"/>
        <w:jc w:val="right"/>
        <w:rPr>
          <w:sz w:val="22"/>
          <w:szCs w:val="22"/>
        </w:rPr>
      </w:pPr>
      <w:r w:rsidRPr="005D4210">
        <w:rPr>
          <w:sz w:val="22"/>
          <w:szCs w:val="22"/>
        </w:rPr>
        <w:t>M</w:t>
      </w:r>
      <w:r w:rsidR="008B1E6B" w:rsidRPr="005D4210">
        <w:rPr>
          <w:sz w:val="22"/>
          <w:szCs w:val="22"/>
        </w:rPr>
        <w:t>gr</w:t>
      </w:r>
      <w:r>
        <w:rPr>
          <w:sz w:val="22"/>
          <w:szCs w:val="22"/>
        </w:rPr>
        <w:t xml:space="preserve"> 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8F74AD">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EC31" w14:textId="77777777" w:rsidR="00EE33CE" w:rsidRDefault="00EE33CE">
      <w:r>
        <w:separator/>
      </w:r>
    </w:p>
  </w:endnote>
  <w:endnote w:type="continuationSeparator" w:id="0">
    <w:p w14:paraId="19AA4B80" w14:textId="77777777" w:rsidR="00EE33CE" w:rsidRDefault="00E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2673" w14:textId="77777777" w:rsidR="00EE33CE" w:rsidRDefault="00EE33CE">
      <w:r>
        <w:separator/>
      </w:r>
    </w:p>
  </w:footnote>
  <w:footnote w:type="continuationSeparator" w:id="0">
    <w:p w14:paraId="079E7FD9" w14:textId="77777777" w:rsidR="00EE33CE" w:rsidRDefault="00EE33CE">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r>
        <w:rPr>
          <w:rFonts w:ascii="Arial" w:hAnsi="Arial" w:cs="Arial"/>
          <w:sz w:val="16"/>
          <w:szCs w:val="16"/>
        </w:rPr>
        <w:t>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r>
        <w:rPr>
          <w:rFonts w:ascii="Arial" w:hAnsi="Arial" w:cs="Arial"/>
          <w:sz w:val="16"/>
          <w:szCs w:val="16"/>
        </w:rPr>
        <w:t>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r>
        <w:rPr>
          <w:rFonts w:ascii="Arial" w:hAnsi="Arial" w:cs="Arial"/>
          <w:sz w:val="16"/>
          <w:szCs w:val="16"/>
        </w:rPr>
        <w:t>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461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17B173A"/>
    <w:multiLevelType w:val="hybridMultilevel"/>
    <w:tmpl w:val="796A47F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4255F0"/>
    <w:multiLevelType w:val="hybridMultilevel"/>
    <w:tmpl w:val="9E56DA5A"/>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30A583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A4E78"/>
    <w:multiLevelType w:val="hybridMultilevel"/>
    <w:tmpl w:val="3EF0D1AC"/>
    <w:lvl w:ilvl="0" w:tplc="0415000F">
      <w:start w:val="1"/>
      <w:numFmt w:val="decimal"/>
      <w:lvlText w:val="%1."/>
      <w:lvlJc w:val="left"/>
      <w:pPr>
        <w:ind w:left="3762" w:hanging="360"/>
      </w:pPr>
    </w:lvl>
    <w:lvl w:ilvl="1" w:tplc="04150019">
      <w:start w:val="1"/>
      <w:numFmt w:val="lowerLetter"/>
      <w:lvlText w:val="%2."/>
      <w:lvlJc w:val="left"/>
      <w:pPr>
        <w:ind w:left="4482" w:hanging="360"/>
      </w:pPr>
    </w:lvl>
    <w:lvl w:ilvl="2" w:tplc="0415001B">
      <w:start w:val="1"/>
      <w:numFmt w:val="lowerRoman"/>
      <w:lvlText w:val="%3."/>
      <w:lvlJc w:val="right"/>
      <w:pPr>
        <w:ind w:left="5202" w:hanging="180"/>
      </w:pPr>
    </w:lvl>
    <w:lvl w:ilvl="3" w:tplc="0415000F">
      <w:start w:val="1"/>
      <w:numFmt w:val="decimal"/>
      <w:lvlText w:val="%4."/>
      <w:lvlJc w:val="left"/>
      <w:pPr>
        <w:ind w:left="5922" w:hanging="360"/>
      </w:pPr>
    </w:lvl>
    <w:lvl w:ilvl="4" w:tplc="04150019">
      <w:start w:val="1"/>
      <w:numFmt w:val="lowerLetter"/>
      <w:lvlText w:val="%5."/>
      <w:lvlJc w:val="left"/>
      <w:pPr>
        <w:ind w:left="6642" w:hanging="360"/>
      </w:pPr>
    </w:lvl>
    <w:lvl w:ilvl="5" w:tplc="0415001B">
      <w:start w:val="1"/>
      <w:numFmt w:val="lowerRoman"/>
      <w:lvlText w:val="%6."/>
      <w:lvlJc w:val="right"/>
      <w:pPr>
        <w:ind w:left="7362" w:hanging="180"/>
      </w:pPr>
    </w:lvl>
    <w:lvl w:ilvl="6" w:tplc="0415000F">
      <w:start w:val="1"/>
      <w:numFmt w:val="decimal"/>
      <w:lvlText w:val="%7."/>
      <w:lvlJc w:val="left"/>
      <w:pPr>
        <w:ind w:left="8082" w:hanging="360"/>
      </w:pPr>
    </w:lvl>
    <w:lvl w:ilvl="7" w:tplc="04150019">
      <w:start w:val="1"/>
      <w:numFmt w:val="lowerLetter"/>
      <w:lvlText w:val="%8."/>
      <w:lvlJc w:val="left"/>
      <w:pPr>
        <w:ind w:left="8802" w:hanging="360"/>
      </w:pPr>
    </w:lvl>
    <w:lvl w:ilvl="8" w:tplc="0415001B">
      <w:start w:val="1"/>
      <w:numFmt w:val="lowerRoman"/>
      <w:lvlText w:val="%9."/>
      <w:lvlJc w:val="right"/>
      <w:pPr>
        <w:ind w:left="9522" w:hanging="180"/>
      </w:pPr>
    </w:lvl>
  </w:abstractNum>
  <w:abstractNum w:abstractNumId="3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786205B"/>
    <w:multiLevelType w:val="hybridMultilevel"/>
    <w:tmpl w:val="4AB6A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41E7B"/>
    <w:multiLevelType w:val="hybridMultilevel"/>
    <w:tmpl w:val="1BCEF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9"/>
  </w:num>
  <w:num w:numId="5">
    <w:abstractNumId w:val="31"/>
  </w:num>
  <w:num w:numId="6">
    <w:abstractNumId w:val="47"/>
  </w:num>
  <w:num w:numId="7">
    <w:abstractNumId w:val="11"/>
  </w:num>
  <w:num w:numId="8">
    <w:abstractNumId w:val="22"/>
  </w:num>
  <w:num w:numId="9">
    <w:abstractNumId w:val="16"/>
  </w:num>
  <w:num w:numId="10">
    <w:abstractNumId w:val="24"/>
  </w:num>
  <w:num w:numId="11">
    <w:abstractNumId w:val="12"/>
  </w:num>
  <w:num w:numId="12">
    <w:abstractNumId w:val="44"/>
  </w:num>
  <w:num w:numId="13">
    <w:abstractNumId w:val="42"/>
  </w:num>
  <w:num w:numId="14">
    <w:abstractNumId w:val="40"/>
    <w:lvlOverride w:ilvl="0">
      <w:startOverride w:val="1"/>
    </w:lvlOverride>
  </w:num>
  <w:num w:numId="15">
    <w:abstractNumId w:val="30"/>
    <w:lvlOverride w:ilvl="0">
      <w:startOverride w:val="1"/>
    </w:lvlOverride>
  </w:num>
  <w:num w:numId="16">
    <w:abstractNumId w:val="21"/>
  </w:num>
  <w:num w:numId="17">
    <w:abstractNumId w:val="13"/>
  </w:num>
  <w:num w:numId="18">
    <w:abstractNumId w:val="41"/>
  </w:num>
  <w:num w:numId="19">
    <w:abstractNumId w:val="27"/>
  </w:num>
  <w:num w:numId="20">
    <w:abstractNumId w:val="23"/>
  </w:num>
  <w:num w:numId="21">
    <w:abstractNumId w:val="51"/>
  </w:num>
  <w:num w:numId="22">
    <w:abstractNumId w:val="52"/>
  </w:num>
  <w:num w:numId="23">
    <w:abstractNumId w:val="25"/>
  </w:num>
  <w:num w:numId="24">
    <w:abstractNumId w:val="28"/>
  </w:num>
  <w:num w:numId="25">
    <w:abstractNumId w:val="26"/>
  </w:num>
  <w:num w:numId="26">
    <w:abstractNumId w:val="48"/>
  </w:num>
  <w:num w:numId="27">
    <w:abstractNumId w:val="18"/>
  </w:num>
  <w:num w:numId="28">
    <w:abstractNumId w:val="20"/>
  </w:num>
  <w:num w:numId="29">
    <w:abstractNumId w:val="50"/>
  </w:num>
  <w:num w:numId="30">
    <w:abstractNumId w:val="45"/>
  </w:num>
  <w:num w:numId="31">
    <w:abstractNumId w:val="35"/>
  </w:num>
  <w:num w:numId="32">
    <w:abstractNumId w:val="17"/>
  </w:num>
  <w:num w:numId="33">
    <w:abstractNumId w:val="4"/>
  </w:num>
  <w:num w:numId="34">
    <w:abstractNumId w:val="39"/>
  </w:num>
  <w:num w:numId="35">
    <w:abstractNumId w:val="34"/>
  </w:num>
  <w:num w:numId="36">
    <w:abstractNumId w:val="36"/>
  </w:num>
  <w:num w:numId="37">
    <w:abstractNumId w:val="55"/>
  </w:num>
  <w:num w:numId="38">
    <w:abstractNumId w:val="43"/>
  </w:num>
  <w:num w:numId="39">
    <w:abstractNumId w:val="37"/>
  </w:num>
  <w:num w:numId="40">
    <w:abstractNumId w:val="32"/>
  </w:num>
  <w:num w:numId="41">
    <w:abstractNumId w:val="9"/>
  </w:num>
  <w:num w:numId="42">
    <w:abstractNumId w:val="38"/>
  </w:num>
  <w:num w:numId="43">
    <w:abstractNumId w:val="8"/>
  </w:num>
  <w:num w:numId="44">
    <w:abstractNumId w:val="46"/>
  </w:num>
  <w:num w:numId="45">
    <w:abstractNumId w:val="14"/>
  </w:num>
  <w:num w:numId="46">
    <w:abstractNumId w:val="53"/>
  </w:num>
  <w:num w:numId="47">
    <w:abstractNumId w:val="15"/>
  </w:num>
  <w:num w:numId="48">
    <w:abstractNumId w:val="2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194"/>
    <w:rsid w:val="00074549"/>
    <w:rsid w:val="0007527C"/>
    <w:rsid w:val="00076052"/>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2F49"/>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35FC"/>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129"/>
    <w:rsid w:val="001B49D6"/>
    <w:rsid w:val="001B49EC"/>
    <w:rsid w:val="001B4C60"/>
    <w:rsid w:val="001B4E7B"/>
    <w:rsid w:val="001B4EB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948"/>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6D68"/>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3C44"/>
    <w:rsid w:val="0029428E"/>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4C28"/>
    <w:rsid w:val="002F58D9"/>
    <w:rsid w:val="002F6140"/>
    <w:rsid w:val="002F6548"/>
    <w:rsid w:val="002F671D"/>
    <w:rsid w:val="002F7211"/>
    <w:rsid w:val="0030054D"/>
    <w:rsid w:val="00302547"/>
    <w:rsid w:val="00303DC5"/>
    <w:rsid w:val="00304741"/>
    <w:rsid w:val="00304B92"/>
    <w:rsid w:val="00305057"/>
    <w:rsid w:val="0030539D"/>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1A95"/>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38CD"/>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E7F23"/>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992"/>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2BA9"/>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349D"/>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878D4"/>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CD1"/>
    <w:rsid w:val="006A717B"/>
    <w:rsid w:val="006A7D52"/>
    <w:rsid w:val="006B0D48"/>
    <w:rsid w:val="006B20F3"/>
    <w:rsid w:val="006B2954"/>
    <w:rsid w:val="006B2A47"/>
    <w:rsid w:val="006B6664"/>
    <w:rsid w:val="006B7FD5"/>
    <w:rsid w:val="006C0080"/>
    <w:rsid w:val="006C0774"/>
    <w:rsid w:val="006C1AA3"/>
    <w:rsid w:val="006C2470"/>
    <w:rsid w:val="006C27E7"/>
    <w:rsid w:val="006C2BA1"/>
    <w:rsid w:val="006C3556"/>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3495"/>
    <w:rsid w:val="006E54CC"/>
    <w:rsid w:val="006E5BCE"/>
    <w:rsid w:val="006E6158"/>
    <w:rsid w:val="006E6745"/>
    <w:rsid w:val="006E7DCD"/>
    <w:rsid w:val="006F03FE"/>
    <w:rsid w:val="006F04FD"/>
    <w:rsid w:val="006F0F4B"/>
    <w:rsid w:val="006F1582"/>
    <w:rsid w:val="006F28D6"/>
    <w:rsid w:val="006F346A"/>
    <w:rsid w:val="006F41B1"/>
    <w:rsid w:val="006F442D"/>
    <w:rsid w:val="006F4C4C"/>
    <w:rsid w:val="006F54E3"/>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6458"/>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5CB8"/>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6D1D"/>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AD"/>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574"/>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57C1E"/>
    <w:rsid w:val="00957FB6"/>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4EB0"/>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19"/>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059"/>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2C5"/>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4B1"/>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4DB0"/>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0CE2"/>
    <w:rsid w:val="00BF14F1"/>
    <w:rsid w:val="00BF1C0F"/>
    <w:rsid w:val="00BF21BC"/>
    <w:rsid w:val="00BF5B75"/>
    <w:rsid w:val="00BF64E8"/>
    <w:rsid w:val="00BF72E9"/>
    <w:rsid w:val="00C00D9E"/>
    <w:rsid w:val="00C01278"/>
    <w:rsid w:val="00C015D4"/>
    <w:rsid w:val="00C018FF"/>
    <w:rsid w:val="00C03CE5"/>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67B19"/>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3D98"/>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6D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E7DB7"/>
    <w:rsid w:val="00CF0BA5"/>
    <w:rsid w:val="00CF1026"/>
    <w:rsid w:val="00CF13B1"/>
    <w:rsid w:val="00CF2213"/>
    <w:rsid w:val="00CF3309"/>
    <w:rsid w:val="00CF3664"/>
    <w:rsid w:val="00CF547A"/>
    <w:rsid w:val="00CF5900"/>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28F9"/>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033"/>
    <w:rsid w:val="00D71BB9"/>
    <w:rsid w:val="00D73270"/>
    <w:rsid w:val="00D74085"/>
    <w:rsid w:val="00D7499E"/>
    <w:rsid w:val="00D74A7A"/>
    <w:rsid w:val="00D75441"/>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159"/>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670"/>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185F"/>
    <w:rsid w:val="00E93362"/>
    <w:rsid w:val="00E934BC"/>
    <w:rsid w:val="00E93640"/>
    <w:rsid w:val="00E95939"/>
    <w:rsid w:val="00E95D90"/>
    <w:rsid w:val="00E96944"/>
    <w:rsid w:val="00E96C28"/>
    <w:rsid w:val="00EA0C2A"/>
    <w:rsid w:val="00EA19CD"/>
    <w:rsid w:val="00EA1A05"/>
    <w:rsid w:val="00EA22B1"/>
    <w:rsid w:val="00EA33B9"/>
    <w:rsid w:val="00EA3642"/>
    <w:rsid w:val="00EA3698"/>
    <w:rsid w:val="00EA57A8"/>
    <w:rsid w:val="00EA5959"/>
    <w:rsid w:val="00EA6260"/>
    <w:rsid w:val="00EB03F9"/>
    <w:rsid w:val="00EB0F44"/>
    <w:rsid w:val="00EB1474"/>
    <w:rsid w:val="00EB14A8"/>
    <w:rsid w:val="00EB1AA5"/>
    <w:rsid w:val="00EB2044"/>
    <w:rsid w:val="00EB303A"/>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6F62"/>
    <w:rsid w:val="00ED7420"/>
    <w:rsid w:val="00ED7F4F"/>
    <w:rsid w:val="00EE0357"/>
    <w:rsid w:val="00EE03C4"/>
    <w:rsid w:val="00EE0A98"/>
    <w:rsid w:val="00EE29B0"/>
    <w:rsid w:val="00EE32A2"/>
    <w:rsid w:val="00EE33CE"/>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4C0B"/>
    <w:rsid w:val="00F056EC"/>
    <w:rsid w:val="00F05FD4"/>
    <w:rsid w:val="00F06ADB"/>
    <w:rsid w:val="00F10817"/>
    <w:rsid w:val="00F1141C"/>
    <w:rsid w:val="00F11653"/>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0F4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 w:type="character" w:customStyle="1" w:styleId="object">
    <w:name w:val="object"/>
    <w:basedOn w:val="Domylnaczcionkaakapitu"/>
    <w:rsid w:val="00D7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175107362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19085"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6614</Words>
  <Characters>39687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18</cp:revision>
  <cp:lastPrinted>2024-04-23T07:58:00Z</cp:lastPrinted>
  <dcterms:created xsi:type="dcterms:W3CDTF">2024-04-16T09:07:00Z</dcterms:created>
  <dcterms:modified xsi:type="dcterms:W3CDTF">2024-04-23T08:37:00Z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