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D9" w:rsidRDefault="000D2ED9" w:rsidP="000D2ED9">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Załącznik nr 2 do SWZ</w:t>
      </w:r>
    </w:p>
    <w:p w:rsidR="000D2ED9" w:rsidRDefault="000D2ED9" w:rsidP="000D2ED9">
      <w:pPr>
        <w:rPr>
          <w:rFonts w:ascii="Arial" w:eastAsia="Times New Roman" w:hAnsi="Arial" w:cs="Arial"/>
          <w:b/>
          <w:sz w:val="22"/>
          <w:szCs w:val="22"/>
        </w:rPr>
      </w:pPr>
      <w:r>
        <w:rPr>
          <w:rFonts w:ascii="Arial" w:eastAsia="Times New Roman" w:hAnsi="Arial" w:cs="Arial"/>
          <w:b/>
          <w:sz w:val="22"/>
          <w:szCs w:val="22"/>
        </w:rPr>
        <w:t>OPZ - Opis przedmiotu zamówienia [będący równocześnie] Formularzem cenowym.</w:t>
      </w:r>
    </w:p>
    <w:p w:rsidR="000D2ED9" w:rsidRDefault="000D2ED9" w:rsidP="000D2ED9">
      <w:pPr>
        <w:spacing w:line="276" w:lineRule="auto"/>
        <w:jc w:val="both"/>
        <w:rPr>
          <w:rFonts w:ascii="Arial" w:hAnsi="Arial" w:cs="Arial"/>
          <w:b/>
          <w:sz w:val="22"/>
          <w:szCs w:val="22"/>
        </w:rPr>
      </w:pPr>
    </w:p>
    <w:p w:rsidR="000D2ED9" w:rsidRDefault="000D2ED9" w:rsidP="000D2ED9">
      <w:pPr>
        <w:jc w:val="both"/>
        <w:rPr>
          <w:rFonts w:ascii="Arial" w:hAnsi="Arial" w:cs="Arial"/>
          <w:b/>
          <w:sz w:val="22"/>
          <w:szCs w:val="22"/>
        </w:rPr>
      </w:pPr>
      <w:r>
        <w:rPr>
          <w:rFonts w:ascii="Arial" w:hAnsi="Arial" w:cs="Arial"/>
          <w:b/>
          <w:sz w:val="22"/>
          <w:szCs w:val="22"/>
        </w:rPr>
        <w:t>Pakiet nr 1</w:t>
      </w:r>
    </w:p>
    <w:p w:rsidR="000D2ED9" w:rsidRDefault="000D2ED9" w:rsidP="000D2ED9">
      <w:pPr>
        <w:jc w:val="both"/>
        <w:rPr>
          <w:rFonts w:ascii="Arial" w:hAnsi="Arial" w:cs="Arial"/>
          <w:b/>
          <w:sz w:val="22"/>
          <w:szCs w:val="22"/>
        </w:rPr>
      </w:pPr>
    </w:p>
    <w:p w:rsidR="000D2ED9" w:rsidRDefault="000D2ED9" w:rsidP="000D2ED9">
      <w:pPr>
        <w:jc w:val="both"/>
        <w:rPr>
          <w:rFonts w:ascii="Arial" w:hAnsi="Arial" w:cs="Arial"/>
          <w:b/>
          <w:sz w:val="22"/>
          <w:szCs w:val="22"/>
        </w:rPr>
      </w:pPr>
      <w:r>
        <w:rPr>
          <w:rFonts w:ascii="Arial" w:hAnsi="Arial" w:cs="Arial"/>
          <w:b/>
          <w:sz w:val="22"/>
          <w:szCs w:val="22"/>
        </w:rPr>
        <w:t>Dostawa kardiomonitorów do aparatów do znieczuleń z modułami 3 sztuki</w:t>
      </w:r>
    </w:p>
    <w:p w:rsidR="000D2ED9" w:rsidRDefault="000D2ED9" w:rsidP="000D2ED9">
      <w:pPr>
        <w:jc w:val="both"/>
        <w:rPr>
          <w:rFonts w:ascii="Arial" w:hAnsi="Arial" w:cs="Arial"/>
          <w:b/>
          <w:sz w:val="22"/>
          <w:szCs w:val="22"/>
        </w:rPr>
      </w:pPr>
    </w:p>
    <w:p w:rsidR="000D2ED9" w:rsidRDefault="000D2ED9" w:rsidP="000D2ED9">
      <w:pPr>
        <w:jc w:val="both"/>
        <w:rPr>
          <w:rFonts w:ascii="Arial" w:hAnsi="Arial" w:cs="Arial"/>
          <w:b/>
          <w:sz w:val="22"/>
          <w:szCs w:val="22"/>
        </w:rPr>
      </w:pPr>
      <w:r>
        <w:rPr>
          <w:rFonts w:ascii="Arial" w:hAnsi="Arial" w:cs="Arial"/>
          <w:b/>
          <w:sz w:val="22"/>
          <w:szCs w:val="22"/>
        </w:rPr>
        <w:t xml:space="preserve">FORMULARZ CENOWY </w:t>
      </w:r>
    </w:p>
    <w:tbl>
      <w:tblPr>
        <w:tblStyle w:val="Tabela-Siatka"/>
        <w:tblW w:w="0" w:type="dxa"/>
        <w:tblInd w:w="0"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0D2ED9" w:rsidTr="000D2ED9">
        <w:tc>
          <w:tcPr>
            <w:tcW w:w="630"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Model/typ</w:t>
            </w:r>
          </w:p>
          <w:p w:rsidR="000D2ED9" w:rsidRDefault="000D2ED9">
            <w:pPr>
              <w:rPr>
                <w:rFonts w:ascii="Arial" w:hAnsi="Arial" w:cs="Arial"/>
                <w:b/>
                <w:sz w:val="22"/>
                <w:szCs w:val="22"/>
              </w:rPr>
            </w:pPr>
            <w:r>
              <w:rPr>
                <w:rFonts w:ascii="Arial" w:hAnsi="Arial" w:cs="Arial"/>
                <w:b/>
                <w:sz w:val="22"/>
                <w:szCs w:val="22"/>
              </w:rPr>
              <w:t>Producent/</w:t>
            </w:r>
          </w:p>
          <w:p w:rsidR="000D2ED9" w:rsidRDefault="000D2ED9">
            <w:pPr>
              <w:rPr>
                <w:rFonts w:ascii="Arial" w:hAnsi="Arial" w:cs="Arial"/>
                <w:b/>
                <w:sz w:val="22"/>
                <w:szCs w:val="22"/>
              </w:rPr>
            </w:pPr>
            <w:r>
              <w:rPr>
                <w:rFonts w:ascii="Arial" w:hAnsi="Arial" w:cs="Arial"/>
                <w:b/>
                <w:sz w:val="22"/>
                <w:szCs w:val="22"/>
              </w:rPr>
              <w:t xml:space="preserve">Rok produkcji (nie wcześniej niż  2024 r.): </w:t>
            </w:r>
          </w:p>
        </w:tc>
        <w:tc>
          <w:tcPr>
            <w:tcW w:w="850"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b/>
                <w:sz w:val="22"/>
                <w:szCs w:val="22"/>
              </w:rPr>
            </w:pPr>
            <w:r>
              <w:rPr>
                <w:rFonts w:ascii="Arial" w:hAnsi="Arial" w:cs="Arial"/>
                <w:b/>
                <w:sz w:val="22"/>
                <w:szCs w:val="22"/>
              </w:rPr>
              <w:t>Wartość brutto</w:t>
            </w:r>
          </w:p>
        </w:tc>
      </w:tr>
      <w:tr w:rsidR="000D2ED9" w:rsidTr="000D2ED9">
        <w:tc>
          <w:tcPr>
            <w:tcW w:w="630" w:type="dxa"/>
            <w:tcBorders>
              <w:top w:val="single" w:sz="4" w:space="0" w:color="auto"/>
              <w:left w:val="single" w:sz="4" w:space="0" w:color="auto"/>
              <w:bottom w:val="single" w:sz="4" w:space="0" w:color="auto"/>
              <w:right w:val="single" w:sz="4" w:space="0" w:color="auto"/>
            </w:tcBorders>
          </w:tcPr>
          <w:p w:rsidR="000D2ED9" w:rsidRDefault="000D2ED9">
            <w:pPr>
              <w:ind w:left="360"/>
              <w:contextualSpacing/>
              <w:rPr>
                <w:rFonts w:ascii="Arial" w:hAnsi="Arial" w:cs="Arial"/>
                <w:sz w:val="22"/>
                <w:szCs w:val="22"/>
              </w:rPr>
            </w:pPr>
          </w:p>
          <w:p w:rsidR="000D2ED9" w:rsidRDefault="000D2ED9">
            <w:pPr>
              <w:rPr>
                <w:rFonts w:ascii="Arial" w:hAnsi="Arial" w:cs="Arial"/>
                <w:sz w:val="22"/>
                <w:szCs w:val="22"/>
              </w:rPr>
            </w:pPr>
            <w:r>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2ED9" w:rsidRDefault="000D2ED9">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D2ED9" w:rsidRDefault="000D2ED9">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r>
      <w:tr w:rsidR="000D2ED9" w:rsidTr="000D2ED9">
        <w:tc>
          <w:tcPr>
            <w:tcW w:w="630" w:type="dxa"/>
            <w:tcBorders>
              <w:top w:val="single" w:sz="4" w:space="0" w:color="auto"/>
              <w:left w:val="single" w:sz="4" w:space="0" w:color="auto"/>
              <w:bottom w:val="single" w:sz="4" w:space="0" w:color="auto"/>
              <w:right w:val="single" w:sz="4" w:space="0" w:color="auto"/>
            </w:tcBorders>
            <w:hideMark/>
          </w:tcPr>
          <w:p w:rsidR="000D2ED9" w:rsidRDefault="000D2ED9">
            <w:pPr>
              <w:rPr>
                <w:rFonts w:ascii="Arial" w:hAnsi="Arial" w:cs="Arial"/>
                <w:sz w:val="22"/>
                <w:szCs w:val="22"/>
              </w:rPr>
            </w:pPr>
            <w:r>
              <w:rPr>
                <w:rFonts w:ascii="Arial" w:hAnsi="Arial" w:cs="Arial"/>
                <w:sz w:val="22"/>
                <w:szCs w:val="22"/>
              </w:rPr>
              <w:t>.....</w:t>
            </w:r>
          </w:p>
        </w:tc>
        <w:tc>
          <w:tcPr>
            <w:tcW w:w="3618"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2ED9" w:rsidRDefault="000D2ED9">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D2ED9" w:rsidRDefault="000D2ED9">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r>
      <w:tr w:rsidR="000D2ED9" w:rsidTr="000D2ED9">
        <w:tc>
          <w:tcPr>
            <w:tcW w:w="12043" w:type="dxa"/>
            <w:gridSpan w:val="8"/>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b/>
                <w:sz w:val="22"/>
                <w:szCs w:val="22"/>
              </w:rPr>
            </w:pPr>
          </w:p>
          <w:p w:rsidR="000D2ED9" w:rsidRDefault="000D2ED9">
            <w:pPr>
              <w:jc w:val="right"/>
              <w:rPr>
                <w:rFonts w:ascii="Arial" w:hAnsi="Arial" w:cs="Arial"/>
                <w:sz w:val="22"/>
                <w:szCs w:val="22"/>
              </w:rPr>
            </w:pPr>
            <w:r>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rsidR="000D2ED9" w:rsidRDefault="000D2ED9">
            <w:pPr>
              <w:rPr>
                <w:rFonts w:ascii="Arial" w:hAnsi="Arial" w:cs="Arial"/>
                <w:sz w:val="22"/>
                <w:szCs w:val="22"/>
              </w:rPr>
            </w:pPr>
          </w:p>
          <w:p w:rsidR="000D2ED9" w:rsidRDefault="000D2ED9">
            <w:pPr>
              <w:rPr>
                <w:rFonts w:ascii="Arial" w:hAnsi="Arial" w:cs="Arial"/>
                <w:sz w:val="22"/>
                <w:szCs w:val="22"/>
              </w:rPr>
            </w:pPr>
          </w:p>
        </w:tc>
      </w:tr>
    </w:tbl>
    <w:p w:rsidR="000D2ED9" w:rsidRDefault="000D2ED9" w:rsidP="000D2ED9">
      <w:pPr>
        <w:rPr>
          <w:rFonts w:ascii="Arial" w:eastAsia="Times New Roman" w:hAnsi="Arial" w:cs="Arial"/>
          <w:sz w:val="22"/>
          <w:szCs w:val="22"/>
        </w:rPr>
      </w:pPr>
    </w:p>
    <w:p w:rsidR="000D2ED9" w:rsidRDefault="000D2ED9" w:rsidP="000D2ED9">
      <w:pPr>
        <w:rPr>
          <w:rFonts w:ascii="Arial" w:eastAsia="Times New Roman" w:hAnsi="Arial" w:cs="Arial"/>
          <w:sz w:val="22"/>
          <w:szCs w:val="22"/>
        </w:rPr>
      </w:pPr>
    </w:p>
    <w:p w:rsidR="000D2ED9" w:rsidRDefault="000D2ED9" w:rsidP="000D2ED9">
      <w:pPr>
        <w:rPr>
          <w:rFonts w:ascii="Arial" w:eastAsia="Times New Roman" w:hAnsi="Arial" w:cs="Arial"/>
          <w:sz w:val="22"/>
          <w:szCs w:val="22"/>
        </w:rPr>
      </w:pPr>
      <w:r>
        <w:rPr>
          <w:rFonts w:ascii="Arial" w:eastAsia="Times New Roman" w:hAnsi="Arial" w:cs="Arial"/>
          <w:sz w:val="22"/>
          <w:szCs w:val="22"/>
        </w:rPr>
        <w:t xml:space="preserve">ZESTAWIENIE WYMAGANYCH I OCENIANYCH  PARAMETRÓW  </w:t>
      </w:r>
    </w:p>
    <w:p w:rsidR="000D2ED9" w:rsidRDefault="000D2ED9" w:rsidP="000D2ED9">
      <w:pPr>
        <w:rPr>
          <w:rFonts w:ascii="Arial" w:eastAsiaTheme="minorHAnsi" w:hAnsi="Arial" w:cs="Arial"/>
          <w:b/>
          <w:bCs/>
          <w:color w:val="000000"/>
          <w:sz w:val="22"/>
          <w:szCs w:val="22"/>
          <w:lang w:eastAsia="en-US"/>
        </w:rPr>
      </w:pPr>
    </w:p>
    <w:p w:rsidR="000D2ED9" w:rsidRDefault="000D2ED9" w:rsidP="000D2ED9">
      <w:pPr>
        <w:rPr>
          <w:rFonts w:asciiTheme="minorHAnsi" w:hAnsiTheme="minorHAnsi" w:cstheme="minorHAnsi"/>
          <w:b/>
        </w:rPr>
      </w:pPr>
    </w:p>
    <w:tbl>
      <w:tblPr>
        <w:tblW w:w="0" w:type="dxa"/>
        <w:tblInd w:w="-8" w:type="dxa"/>
        <w:tblLayout w:type="fixed"/>
        <w:tblCellMar>
          <w:left w:w="65" w:type="dxa"/>
          <w:right w:w="65" w:type="dxa"/>
        </w:tblCellMar>
        <w:tblLook w:val="04A0" w:firstRow="1" w:lastRow="0" w:firstColumn="1" w:lastColumn="0" w:noHBand="0" w:noVBand="1"/>
      </w:tblPr>
      <w:tblGrid>
        <w:gridCol w:w="1134"/>
        <w:gridCol w:w="7937"/>
        <w:gridCol w:w="1985"/>
        <w:gridCol w:w="2693"/>
      </w:tblGrid>
      <w:tr w:rsidR="000D2ED9" w:rsidTr="000D2ED9">
        <w:trPr>
          <w:cantSplit/>
          <w:tblHeader/>
        </w:trPr>
        <w:tc>
          <w:tcPr>
            <w:tcW w:w="1134" w:type="dxa"/>
            <w:tcBorders>
              <w:top w:val="single" w:sz="6" w:space="0" w:color="7F7F7F"/>
              <w:left w:val="single" w:sz="6" w:space="0" w:color="7F7F7F"/>
              <w:bottom w:val="single" w:sz="6" w:space="0" w:color="7F7F7F"/>
              <w:right w:val="single" w:sz="6" w:space="0" w:color="7F7F7F"/>
            </w:tcBorders>
          </w:tcPr>
          <w:p w:rsidR="000D2ED9" w:rsidRDefault="000D2ED9">
            <w:pPr>
              <w:tabs>
                <w:tab w:val="left" w:pos="506"/>
              </w:tabs>
              <w:snapToGrid w:val="0"/>
              <w:spacing w:line="276" w:lineRule="auto"/>
              <w:ind w:left="192"/>
              <w:jc w:val="center"/>
              <w:rPr>
                <w:rFonts w:ascii="Arial" w:hAnsi="Arial" w:cs="Arial"/>
                <w:b/>
                <w:sz w:val="22"/>
                <w:szCs w:val="22"/>
                <w:lang w:eastAsia="en-US"/>
              </w:rPr>
            </w:pPr>
          </w:p>
          <w:p w:rsidR="000D2ED9" w:rsidRDefault="000D2ED9">
            <w:pPr>
              <w:tabs>
                <w:tab w:val="left" w:pos="506"/>
              </w:tabs>
              <w:spacing w:line="276" w:lineRule="auto"/>
              <w:ind w:left="192"/>
              <w:jc w:val="center"/>
              <w:rPr>
                <w:rFonts w:ascii="Arial" w:hAnsi="Arial" w:cs="Arial"/>
                <w:sz w:val="22"/>
                <w:szCs w:val="22"/>
                <w:lang w:eastAsia="en-US"/>
              </w:rPr>
            </w:pPr>
            <w:r>
              <w:rPr>
                <w:rFonts w:ascii="Arial" w:hAnsi="Arial" w:cs="Arial"/>
                <w:b/>
                <w:sz w:val="22"/>
                <w:szCs w:val="22"/>
                <w:lang w:eastAsia="en-US"/>
              </w:rPr>
              <w:t>Lp.</w:t>
            </w:r>
          </w:p>
        </w:tc>
        <w:tc>
          <w:tcPr>
            <w:tcW w:w="7937" w:type="dxa"/>
            <w:tcBorders>
              <w:top w:val="single" w:sz="6" w:space="0" w:color="7F7F7F"/>
              <w:left w:val="single" w:sz="6" w:space="0" w:color="7F7F7F"/>
              <w:bottom w:val="single" w:sz="6" w:space="0" w:color="7F7F7F"/>
              <w:right w:val="single" w:sz="6" w:space="0" w:color="7F7F7F"/>
            </w:tcBorders>
          </w:tcPr>
          <w:p w:rsidR="000D2ED9" w:rsidRDefault="000D2ED9">
            <w:pPr>
              <w:snapToGrid w:val="0"/>
              <w:spacing w:line="276" w:lineRule="auto"/>
              <w:ind w:left="365"/>
              <w:jc w:val="both"/>
              <w:rPr>
                <w:rFonts w:ascii="Arial" w:hAnsi="Arial" w:cs="Arial"/>
                <w:b/>
                <w:sz w:val="22"/>
                <w:szCs w:val="22"/>
                <w:lang w:eastAsia="en-US"/>
              </w:rPr>
            </w:pPr>
          </w:p>
          <w:p w:rsidR="000D2ED9" w:rsidRDefault="000D2ED9">
            <w:pPr>
              <w:spacing w:line="276" w:lineRule="auto"/>
              <w:ind w:left="365"/>
              <w:jc w:val="both"/>
              <w:rPr>
                <w:rFonts w:ascii="Arial" w:hAnsi="Arial" w:cs="Arial"/>
                <w:b/>
                <w:sz w:val="22"/>
                <w:szCs w:val="22"/>
                <w:lang w:eastAsia="en-US"/>
              </w:rPr>
            </w:pPr>
            <w:r>
              <w:rPr>
                <w:rFonts w:ascii="Arial" w:hAnsi="Arial" w:cs="Arial"/>
                <w:b/>
                <w:sz w:val="22"/>
                <w:szCs w:val="22"/>
                <w:lang w:eastAsia="en-US"/>
              </w:rPr>
              <w:t>PARAMETR</w:t>
            </w:r>
          </w:p>
          <w:p w:rsidR="000D2ED9" w:rsidRDefault="000D2ED9">
            <w:pPr>
              <w:spacing w:line="276" w:lineRule="auto"/>
              <w:ind w:left="365"/>
              <w:jc w:val="both"/>
              <w:rPr>
                <w:rFonts w:ascii="Arial" w:hAnsi="Arial" w:cs="Arial"/>
                <w:b/>
                <w:sz w:val="22"/>
                <w:szCs w:val="22"/>
                <w:lang w:eastAsia="en-US"/>
              </w:rPr>
            </w:pPr>
          </w:p>
        </w:tc>
        <w:tc>
          <w:tcPr>
            <w:tcW w:w="1985" w:type="dxa"/>
            <w:tcBorders>
              <w:top w:val="single" w:sz="6" w:space="0" w:color="7F7F7F"/>
              <w:left w:val="single" w:sz="6" w:space="0" w:color="7F7F7F"/>
              <w:bottom w:val="single" w:sz="6" w:space="0" w:color="7F7F7F"/>
              <w:right w:val="single" w:sz="6" w:space="0" w:color="7F7F7F"/>
            </w:tcBorders>
            <w:hideMark/>
          </w:tcPr>
          <w:p w:rsidR="000D2ED9" w:rsidRDefault="000D2ED9">
            <w:pPr>
              <w:spacing w:line="276" w:lineRule="auto"/>
              <w:ind w:left="77"/>
              <w:jc w:val="center"/>
              <w:rPr>
                <w:rFonts w:ascii="Arial" w:hAnsi="Arial" w:cs="Arial"/>
                <w:sz w:val="22"/>
                <w:szCs w:val="22"/>
                <w:lang w:eastAsia="en-US"/>
              </w:rPr>
            </w:pPr>
            <w:r>
              <w:rPr>
                <w:rFonts w:ascii="Arial" w:hAnsi="Arial" w:cs="Arial"/>
                <w:sz w:val="22"/>
                <w:szCs w:val="22"/>
                <w:lang w:eastAsia="en-US"/>
              </w:rPr>
              <w:t>wartość</w:t>
            </w:r>
          </w:p>
          <w:p w:rsidR="000D2ED9" w:rsidRDefault="000D2ED9">
            <w:pPr>
              <w:snapToGrid w:val="0"/>
              <w:spacing w:line="276" w:lineRule="auto"/>
              <w:ind w:left="77"/>
              <w:jc w:val="center"/>
              <w:rPr>
                <w:rFonts w:ascii="Arial" w:hAnsi="Arial" w:cs="Arial"/>
                <w:b/>
                <w:sz w:val="22"/>
                <w:szCs w:val="22"/>
                <w:lang w:eastAsia="en-US"/>
              </w:rPr>
            </w:pPr>
            <w:r>
              <w:rPr>
                <w:rFonts w:ascii="Arial" w:hAnsi="Arial" w:cs="Arial"/>
                <w:sz w:val="22"/>
                <w:szCs w:val="22"/>
                <w:lang w:eastAsia="en-US"/>
              </w:rPr>
              <w:t>wymagana</w:t>
            </w:r>
          </w:p>
        </w:tc>
        <w:tc>
          <w:tcPr>
            <w:tcW w:w="2693" w:type="dxa"/>
            <w:tcBorders>
              <w:top w:val="single" w:sz="6" w:space="0" w:color="7F7F7F"/>
              <w:left w:val="single" w:sz="6" w:space="0" w:color="7F7F7F"/>
              <w:bottom w:val="single" w:sz="6" w:space="0" w:color="7F7F7F"/>
              <w:right w:val="single" w:sz="6" w:space="0" w:color="7F7F7F"/>
            </w:tcBorders>
            <w:hideMark/>
          </w:tcPr>
          <w:p w:rsidR="000D2ED9" w:rsidRDefault="000D2ED9">
            <w:pPr>
              <w:spacing w:line="276" w:lineRule="auto"/>
              <w:rPr>
                <w:rFonts w:ascii="Arial" w:hAnsi="Arial" w:cs="Arial"/>
                <w:sz w:val="22"/>
                <w:szCs w:val="22"/>
                <w:lang w:eastAsia="en-US"/>
              </w:rPr>
            </w:pPr>
            <w:r>
              <w:rPr>
                <w:rFonts w:ascii="Arial" w:hAnsi="Arial" w:cs="Arial"/>
                <w:sz w:val="22"/>
                <w:szCs w:val="22"/>
                <w:lang w:eastAsia="en-US"/>
              </w:rPr>
              <w:t>wartość oferowana</w:t>
            </w:r>
          </w:p>
          <w:p w:rsidR="000D2ED9" w:rsidRDefault="000D2ED9">
            <w:pPr>
              <w:snapToGrid w:val="0"/>
              <w:spacing w:line="276" w:lineRule="auto"/>
              <w:jc w:val="center"/>
              <w:rPr>
                <w:rFonts w:ascii="Arial" w:hAnsi="Arial" w:cs="Arial"/>
                <w:b/>
                <w:sz w:val="22"/>
                <w:szCs w:val="22"/>
                <w:lang w:eastAsia="en-US"/>
              </w:rPr>
            </w:pPr>
            <w:r>
              <w:rPr>
                <w:rFonts w:ascii="Arial" w:hAnsi="Arial" w:cs="Arial"/>
                <w:sz w:val="22"/>
                <w:szCs w:val="22"/>
                <w:lang w:eastAsia="en-US"/>
              </w:rPr>
              <w:t>(kolumna wypełniana przez Wykonawcę)</w:t>
            </w: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 w:val="left" w:pos="790"/>
              </w:tabs>
              <w:spacing w:line="240" w:lineRule="auto"/>
              <w:ind w:left="365" w:firstLine="2299"/>
              <w:rPr>
                <w:rFonts w:ascii="Arial" w:hAnsi="Arial" w:cs="Arial"/>
                <w:bCs/>
                <w:color w:val="000000"/>
                <w:sz w:val="22"/>
                <w:szCs w:val="22"/>
                <w:lang w:eastAsia="en-US"/>
              </w:rPr>
            </w:pPr>
            <w:r>
              <w:rPr>
                <w:rFonts w:ascii="Arial" w:hAnsi="Arial" w:cs="Arial"/>
                <w:bCs/>
                <w:color w:val="000000"/>
                <w:sz w:val="22"/>
                <w:szCs w:val="22"/>
                <w:lang w:eastAsia="en-US"/>
              </w:rPr>
              <w:t>PARAMETRY OGÓLNE</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tabs>
                <w:tab w:val="left" w:pos="223"/>
                <w:tab w:val="left" w:pos="506"/>
              </w:tabs>
              <w:ind w:left="192" w:hanging="192"/>
              <w:jc w:val="center"/>
              <w:rPr>
                <w:rFonts w:ascii="Arial" w:hAnsi="Arial" w:cs="Arial"/>
                <w:color w:val="000000"/>
                <w:sz w:val="22"/>
                <w:szCs w:val="22"/>
                <w:lang w:eastAsia="en-US"/>
              </w:rPr>
            </w:pPr>
            <w:r>
              <w:rPr>
                <w:rFonts w:ascii="Arial" w:hAnsi="Arial" w:cs="Arial"/>
                <w:color w:val="000000"/>
                <w:sz w:val="22"/>
                <w:szCs w:val="22"/>
                <w:lang w:eastAsia="en-US"/>
              </w:rPr>
              <w:t>1.</w:t>
            </w:r>
          </w:p>
          <w:p w:rsidR="000D2ED9" w:rsidRDefault="000D2ED9">
            <w:pPr>
              <w:pStyle w:val="Style10"/>
              <w:tabs>
                <w:tab w:val="left" w:pos="506"/>
              </w:tabs>
              <w:ind w:left="192"/>
              <w:jc w:val="center"/>
              <w:rPr>
                <w:rFonts w:ascii="Arial" w:hAnsi="Arial" w:cs="Arial"/>
                <w:color w:val="000000"/>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firstLine="0"/>
              <w:rPr>
                <w:rFonts w:ascii="Arial" w:hAnsi="Arial" w:cs="Arial"/>
                <w:sz w:val="22"/>
                <w:szCs w:val="22"/>
                <w:lang w:eastAsia="en-US"/>
              </w:rPr>
            </w:pPr>
            <w:r>
              <w:rPr>
                <w:rFonts w:ascii="Arial" w:hAnsi="Arial" w:cs="Arial"/>
                <w:b/>
                <w:bCs/>
                <w:color w:val="000000"/>
                <w:sz w:val="22"/>
                <w:szCs w:val="22"/>
                <w:lang w:eastAsia="en-US"/>
              </w:rPr>
              <w:t>Monitor pacjenta o budowie modułowej – 3 szt.</w:t>
            </w:r>
            <w:r>
              <w:rPr>
                <w:rFonts w:ascii="Arial" w:hAnsi="Arial" w:cs="Arial"/>
                <w:color w:val="000000"/>
                <w:sz w:val="22"/>
                <w:szCs w:val="22"/>
                <w:lang w:eastAsia="en-US"/>
              </w:rPr>
              <w:t xml:space="preserve"> Poszczególne moduły pomiarowe przenoszone między monitorami bez udziału serwisu.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ind w:left="1043"/>
              <w:rPr>
                <w:rFonts w:ascii="Arial" w:hAnsi="Arial" w:cs="Arial"/>
                <w:color w:val="000000"/>
                <w:sz w:val="22"/>
                <w:szCs w:val="22"/>
                <w:lang w:eastAsia="en-US"/>
              </w:rPr>
            </w:pP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xml:space="preserve">Zasilanie sieciowe dostosowane do 230V / 50 </w:t>
            </w:r>
            <w:proofErr w:type="spellStart"/>
            <w:r>
              <w:rPr>
                <w:rFonts w:ascii="Arial" w:hAnsi="Arial" w:cs="Arial"/>
                <w:color w:val="000000"/>
                <w:sz w:val="22"/>
                <w:szCs w:val="22"/>
                <w:lang w:eastAsia="en-US"/>
              </w:rPr>
              <w:t>Hz</w:t>
            </w:r>
            <w:proofErr w:type="spellEnd"/>
            <w:r>
              <w:rPr>
                <w:rFonts w:ascii="Arial" w:hAnsi="Arial" w:cs="Arial"/>
                <w:color w:val="000000"/>
                <w:sz w:val="22"/>
                <w:szCs w:val="22"/>
                <w:lang w:eastAsia="en-US"/>
              </w:rPr>
              <w:t>. Wewnętrzny akumulator, wymienialny przez użytkownika, pozwalający na minimum 120 minut pracy w konfiguracji EKG,NIBP,SpO2.</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ind w:left="1043"/>
              <w:rPr>
                <w:rFonts w:ascii="Arial" w:hAnsi="Arial" w:cs="Arial"/>
                <w:color w:val="000000"/>
                <w:sz w:val="22"/>
                <w:szCs w:val="22"/>
                <w:lang w:eastAsia="en-US"/>
              </w:rPr>
            </w:pP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Monitor wyposażony w składany uchwyt do przenoszenia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223" w:hanging="45"/>
              <w:jc w:val="center"/>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color w:val="000000"/>
                <w:sz w:val="22"/>
                <w:szCs w:val="22"/>
                <w:lang w:eastAsia="en-US"/>
              </w:rPr>
            </w:pPr>
            <w:r>
              <w:rPr>
                <w:rFonts w:ascii="Arial" w:hAnsi="Arial" w:cs="Arial"/>
                <w:color w:val="000000"/>
                <w:sz w:val="22"/>
                <w:szCs w:val="22"/>
                <w:lang w:eastAsia="en-US"/>
              </w:rPr>
              <w:t>Wyposażenie z złącza wejścia/wyjścia: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ind w:left="1043"/>
              <w:rPr>
                <w:rFonts w:ascii="Arial" w:hAnsi="Arial" w:cs="Arial"/>
                <w:color w:val="000000"/>
                <w:sz w:val="22"/>
                <w:szCs w:val="22"/>
                <w:lang w:eastAsia="en-US"/>
              </w:rPr>
            </w:pP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tabs>
                <w:tab w:val="left" w:pos="506"/>
              </w:tabs>
              <w:snapToGrid w:val="0"/>
              <w:ind w:left="192"/>
              <w:jc w:val="center"/>
              <w:rPr>
                <w:rFonts w:ascii="Arial" w:hAnsi="Arial" w:cs="Arial"/>
                <w:color w:val="000000"/>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xml:space="preserve">- wyjście sygnału do podłączenia ekranu kopiującego,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tabs>
                <w:tab w:val="left" w:pos="506"/>
              </w:tabs>
              <w:snapToGrid w:val="0"/>
              <w:ind w:left="192"/>
              <w:jc w:val="center"/>
              <w:rPr>
                <w:rFonts w:ascii="Arial" w:hAnsi="Arial" w:cs="Arial"/>
                <w:color w:val="000000"/>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co najmniej 3 gniazda USB do podłączenia klawiatury, myszki komputerowej, skanera kodów paskowych,</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TAK/podać</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tabs>
                <w:tab w:val="left" w:pos="506"/>
              </w:tabs>
              <w:snapToGrid w:val="0"/>
              <w:ind w:left="192"/>
              <w:jc w:val="center"/>
              <w:rPr>
                <w:rFonts w:ascii="Arial" w:hAnsi="Arial" w:cs="Arial"/>
                <w:color w:val="000000"/>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gniazdo RJ-45 do połączenia z siecią monitorowania.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5.</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Możliwość rozbudowy monitora o pomiary:</w:t>
            </w:r>
          </w:p>
          <w:p w:rsidR="000D2ED9" w:rsidRDefault="000D2ED9">
            <w:pPr>
              <w:pStyle w:val="Style10"/>
              <w:spacing w:line="240" w:lineRule="auto"/>
              <w:ind w:left="365"/>
              <w:rPr>
                <w:rFonts w:ascii="Arial" w:hAnsi="Arial" w:cs="Arial"/>
                <w:color w:val="000000"/>
                <w:sz w:val="22"/>
                <w:szCs w:val="22"/>
                <w:lang w:eastAsia="en-US"/>
              </w:rPr>
            </w:pPr>
            <w:r>
              <w:rPr>
                <w:rFonts w:ascii="Arial" w:hAnsi="Arial" w:cs="Arial"/>
                <w:color w:val="000000"/>
                <w:sz w:val="22"/>
                <w:szCs w:val="22"/>
                <w:lang w:eastAsia="en-US"/>
              </w:rPr>
              <w:t>- EEG,</w:t>
            </w:r>
          </w:p>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nieinwazyjnego rzutu minutowego metodą impedancji kardiograficznej,</w:t>
            </w:r>
          </w:p>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ciągłego inwazyjnego pomiaru rzutu minutowego,</w:t>
            </w:r>
          </w:p>
          <w:p w:rsidR="000D2ED9" w:rsidRDefault="000D2ED9">
            <w:pPr>
              <w:pStyle w:val="Style10"/>
              <w:spacing w:line="240" w:lineRule="auto"/>
              <w:ind w:left="365"/>
              <w:rPr>
                <w:rFonts w:ascii="Arial" w:hAnsi="Arial" w:cs="Arial"/>
                <w:color w:val="000000"/>
                <w:sz w:val="22"/>
                <w:szCs w:val="22"/>
                <w:lang w:eastAsia="en-US"/>
              </w:rPr>
            </w:pPr>
            <w:r>
              <w:rPr>
                <w:rFonts w:ascii="Arial" w:hAnsi="Arial" w:cs="Arial"/>
                <w:color w:val="000000"/>
                <w:sz w:val="22"/>
                <w:szCs w:val="22"/>
                <w:lang w:eastAsia="en-US"/>
              </w:rPr>
              <w:t>- inwazyjnego pomiaru rzutu serca metodą Swan-</w:t>
            </w:r>
            <w:proofErr w:type="spellStart"/>
            <w:r>
              <w:rPr>
                <w:rFonts w:ascii="Arial" w:hAnsi="Arial" w:cs="Arial"/>
                <w:color w:val="000000"/>
                <w:sz w:val="22"/>
                <w:szCs w:val="22"/>
                <w:lang w:eastAsia="en-US"/>
              </w:rPr>
              <w:t>Ganza</w:t>
            </w:r>
            <w:proofErr w:type="spellEnd"/>
            <w:r>
              <w:rPr>
                <w:rFonts w:ascii="Arial" w:hAnsi="Arial" w:cs="Arial"/>
                <w:color w:val="000000"/>
                <w:sz w:val="22"/>
                <w:szCs w:val="22"/>
                <w:lang w:eastAsia="en-US"/>
              </w:rPr>
              <w:t>,</w:t>
            </w:r>
          </w:p>
          <w:p w:rsidR="000D2ED9" w:rsidRDefault="000D2ED9">
            <w:pPr>
              <w:pStyle w:val="Style10"/>
              <w:spacing w:line="240" w:lineRule="auto"/>
              <w:ind w:left="365"/>
              <w:rPr>
                <w:rFonts w:ascii="Arial" w:hAnsi="Arial" w:cs="Arial"/>
                <w:color w:val="000000"/>
                <w:sz w:val="22"/>
                <w:szCs w:val="22"/>
                <w:lang w:eastAsia="en-US"/>
              </w:rPr>
            </w:pPr>
            <w:r>
              <w:rPr>
                <w:rFonts w:ascii="Arial" w:hAnsi="Arial" w:cs="Arial"/>
                <w:color w:val="000000"/>
                <w:sz w:val="22"/>
                <w:szCs w:val="22"/>
                <w:lang w:eastAsia="en-US"/>
              </w:rPr>
              <w:t>- parametrów mechaniki oddechowej,</w:t>
            </w:r>
          </w:p>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oksymetrii tkankowej.</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Możliwość rozbudowy o moduł interfejsowy do jednoczesnego podłączenia co najmniej 4 zewnętrznych urządzeń medycznych (respiratory, pompy infuzyjne, aparaty do znieczulania, monitory hemodynamiczne).</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7.</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365"/>
              <w:jc w:val="both"/>
              <w:rPr>
                <w:rFonts w:ascii="Arial" w:hAnsi="Arial" w:cs="Arial"/>
                <w:sz w:val="22"/>
                <w:szCs w:val="22"/>
                <w:lang w:eastAsia="en-US"/>
              </w:rPr>
            </w:pPr>
            <w:r>
              <w:rPr>
                <w:rFonts w:ascii="Arial" w:hAnsi="Arial" w:cs="Arial"/>
                <w:color w:val="000000"/>
                <w:sz w:val="22"/>
                <w:szCs w:val="22"/>
                <w:lang w:eastAsia="en-US"/>
              </w:rPr>
              <w:t>Stopień ochrony przed groźnym zalaniem wodą co najmniej IPX1</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Cs/>
                <w:color w:val="000000"/>
                <w:sz w:val="22"/>
                <w:szCs w:val="22"/>
                <w:lang w:eastAsia="en-US"/>
              </w:rPr>
            </w:pPr>
            <w:r>
              <w:rPr>
                <w:rFonts w:ascii="Arial" w:hAnsi="Arial" w:cs="Arial"/>
                <w:bCs/>
                <w:color w:val="000000"/>
                <w:sz w:val="22"/>
                <w:szCs w:val="22"/>
                <w:lang w:eastAsia="en-US"/>
              </w:rPr>
              <w:t>EKRAN / OBSŁUGA</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Kolorowy pojedynczy, pojemnościowy ekran dotykowy w postaci płaskiego panelu LCD TFT o przekątnej minimum 18", rozdzielczości co najmniej 1920x1080 pikseli i dużym kącie widzenia (powyżej 170</w:t>
            </w:r>
            <w:r>
              <w:rPr>
                <w:rFonts w:ascii="Arial" w:hAnsi="Arial" w:cs="Arial"/>
                <w:color w:val="000000"/>
                <w:sz w:val="22"/>
                <w:szCs w:val="22"/>
                <w:vertAlign w:val="superscript"/>
                <w:lang w:eastAsia="en-US"/>
              </w:rPr>
              <w:t>o</w:t>
            </w:r>
            <w:r>
              <w:rPr>
                <w:rFonts w:ascii="Arial" w:hAnsi="Arial" w:cs="Arial"/>
                <w:color w:val="000000"/>
                <w:sz w:val="22"/>
                <w:szCs w:val="22"/>
                <w:lang w:eastAsia="en-US"/>
              </w:rPr>
              <w:t xml:space="preserve">). Min. 10 krzywych dynamicznych wyświetlanych jednocześnie na ekranie. Miejsca na moduły pomiarowe w jednej obudowie z ekranem.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automatycznego dostosowania  jasności ekranu do natężenia światła otoczenia.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Obsługa wielodotykowa za pomocą gestów przeciągania. Możliwość rozbudowy o obsługę przy pomocy pilota.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365"/>
              <w:rPr>
                <w:rFonts w:ascii="Arial" w:hAnsi="Arial" w:cs="Arial"/>
                <w:sz w:val="22"/>
                <w:szCs w:val="22"/>
                <w:lang w:eastAsia="en-US"/>
              </w:rPr>
            </w:pPr>
            <w:r>
              <w:rPr>
                <w:rFonts w:ascii="Arial" w:hAnsi="Arial" w:cs="Arial"/>
                <w:color w:val="000000"/>
                <w:sz w:val="22"/>
                <w:szCs w:val="22"/>
                <w:lang w:eastAsia="en-US"/>
              </w:rPr>
              <w:t xml:space="preserve">Fabrycznie skonfigurowane co najmniej trzy układy ekranu: normalny (krzywe dynamiczne i wartości parametrów), </w:t>
            </w:r>
            <w:proofErr w:type="spellStart"/>
            <w:r>
              <w:rPr>
                <w:rFonts w:ascii="Arial" w:hAnsi="Arial" w:cs="Arial"/>
                <w:color w:val="000000"/>
                <w:sz w:val="22"/>
                <w:szCs w:val="22"/>
                <w:lang w:eastAsia="en-US"/>
              </w:rPr>
              <w:t>minitrendów</w:t>
            </w:r>
            <w:proofErr w:type="spellEnd"/>
            <w:r>
              <w:rPr>
                <w:rFonts w:ascii="Arial" w:hAnsi="Arial" w:cs="Arial"/>
                <w:color w:val="000000"/>
                <w:sz w:val="22"/>
                <w:szCs w:val="22"/>
                <w:lang w:eastAsia="en-US"/>
              </w:rPr>
              <w:t xml:space="preserve"> (krótkie trendy, krzywe dynamiczne i wartości parametrów), duże odczyty. Szybkie przełączanie między ekranami, bez wchodzenia do menu, za pomocą gestów np. przesunięcie w lewo lub w prawo dwoma palcami po ekranie.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Cs/>
                <w:color w:val="000000"/>
                <w:sz w:val="22"/>
                <w:szCs w:val="22"/>
                <w:lang w:eastAsia="en-US"/>
              </w:rPr>
            </w:pPr>
            <w:r>
              <w:rPr>
                <w:rFonts w:ascii="Arial" w:hAnsi="Arial" w:cs="Arial"/>
                <w:bCs/>
                <w:color w:val="000000"/>
                <w:sz w:val="22"/>
                <w:szCs w:val="22"/>
                <w:lang w:eastAsia="en-US"/>
              </w:rPr>
              <w:t>SYSTEM ALARMOWY</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zawieszenia sygnalizacji alarmowej na czas wybrany przez użytkownika (do wyboru co najmniej wstrzymanie alarmów na 1, 2, 5, 10 i 15 minut) oraz możliwość zawieszenia alarmów na stałe (zabezpieczone hasłem).</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Monitor wyposażony w funkcję trybu intubacji: zawieszenie działania alarmów związanych z pomiarami CO2 i częstości oddechu, bez jednoczesnego wyłączania alarmów innych parametrów. Wyświetlanie na ekranie stopera z czasem jaki pozostał do zakończenia procesu intubacji (ustawiane czasy co najmniej do wyboru 1 i 2 minuty).</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Monitor wyposażony w funkcję trybu resuscytacyjnego: zawieszenie działania alarmów fizjologicznych wszystkich parametrów. Wyświetlanie na ekranie informacji o aktywnym trybie resuscytacyjnym.</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5.</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w:t>
            </w:r>
            <w:r>
              <w:rPr>
                <w:rFonts w:ascii="Arial" w:eastAsia="MyriadPro-Regular;Calibri" w:hAnsi="Arial" w:cs="Arial"/>
                <w:sz w:val="22"/>
                <w:szCs w:val="22"/>
                <w:lang w:eastAsia="en-US"/>
              </w:rPr>
              <w:t xml:space="preserve">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Funkcja resetowania alarmów technicznych powodująca ich usuwanie lub zamianę w komunikaty informacyjne lub ich wyciszenie z wyświetlaniem na ekranie oznaczonego komunikatu alarmu</w:t>
            </w:r>
            <w:r>
              <w:rPr>
                <w:rFonts w:ascii="Arial" w:eastAsia="MyriadPro-Regular;Calibri" w:hAnsi="Arial" w:cs="Arial"/>
                <w:sz w:val="22"/>
                <w:szCs w:val="22"/>
                <w:lang w:eastAsia="en-US"/>
              </w:rPr>
              <w:t>.</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7.</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Monitor wyposażony w funkcję alarmów łączonych kilku parametrów (niezależna od alarmów indywidualnych) powiązanych z czasem ich trwania. Monitor sygnalizuje stan alarmowy przy jednoczesnym spełnieniu kilku warunków np. jeśli:</w:t>
            </w:r>
          </w:p>
          <w:p w:rsidR="000D2ED9" w:rsidRDefault="000D2ED9">
            <w:pPr>
              <w:autoSpaceDE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  HR&gt;100/min i SK&lt;90 mmHg i RR&gt;22 R/min przez co najmniej 1 minutę;</w:t>
            </w:r>
          </w:p>
          <w:p w:rsidR="000D2ED9" w:rsidRDefault="000D2ED9">
            <w:pPr>
              <w:autoSpaceDE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 HR wzrosło o co najmniej 30 minut w ciągu 30 minut.</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
                <w:color w:val="000000"/>
                <w:sz w:val="22"/>
                <w:szCs w:val="22"/>
                <w:lang w:eastAsia="en-US"/>
              </w:rPr>
            </w:pPr>
            <w:r>
              <w:rPr>
                <w:rFonts w:ascii="Arial" w:hAnsi="Arial" w:cs="Arial"/>
                <w:b/>
                <w:color w:val="000000"/>
                <w:sz w:val="22"/>
                <w:szCs w:val="22"/>
                <w:lang w:eastAsia="en-US"/>
              </w:rPr>
              <w:t>ZAPAMIĘTYWANIE I PRZEGLĄD DANYCH</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Przynajmniej 120-godzinne trendy wszystkich mierzonych parametrów, w postaci tabel i wykresów z rozdzielczością przynajmniej 1 minuty</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Zapamiętywanie krzywych dynamicznych w czasie rzeczywistym (funkcja </w:t>
            </w:r>
            <w:proofErr w:type="spellStart"/>
            <w:r>
              <w:rPr>
                <w:rFonts w:ascii="Arial" w:hAnsi="Arial" w:cs="Arial"/>
                <w:color w:val="000000"/>
                <w:sz w:val="22"/>
                <w:szCs w:val="22"/>
                <w:lang w:eastAsia="en-US"/>
              </w:rPr>
              <w:t>full</w:t>
            </w:r>
            <w:proofErr w:type="spellEnd"/>
            <w:r>
              <w:rPr>
                <w:rFonts w:ascii="Arial" w:hAnsi="Arial" w:cs="Arial"/>
                <w:color w:val="000000"/>
                <w:sz w:val="22"/>
                <w:szCs w:val="22"/>
                <w:lang w:eastAsia="en-US"/>
              </w:rPr>
              <w:t xml:space="preserve"> </w:t>
            </w:r>
            <w:proofErr w:type="spellStart"/>
            <w:r>
              <w:rPr>
                <w:rFonts w:ascii="Arial" w:hAnsi="Arial" w:cs="Arial"/>
                <w:color w:val="000000"/>
                <w:sz w:val="22"/>
                <w:szCs w:val="22"/>
                <w:lang w:eastAsia="en-US"/>
              </w:rPr>
              <w:t>disclosure</w:t>
            </w:r>
            <w:proofErr w:type="spellEnd"/>
            <w:r>
              <w:rPr>
                <w:rFonts w:ascii="Arial" w:hAnsi="Arial" w:cs="Arial"/>
                <w:color w:val="000000"/>
                <w:sz w:val="22"/>
                <w:szCs w:val="22"/>
                <w:lang w:eastAsia="en-US"/>
              </w:rPr>
              <w:t xml:space="preserve">) – pamięć co najmniej 24 godziny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Zapamiętywanie co najmniej 700 zdarzeń alarmowych (krzywe i odpowiadające im wartości parametrów)</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eksportu danych wypisanych pacjentów na pamięć USB z możliwością ich późniejszego przeglądu na komputerze osobistym przy pomocy dedykowanego oprogramowania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
                <w:color w:val="000000"/>
                <w:sz w:val="22"/>
                <w:szCs w:val="22"/>
                <w:lang w:eastAsia="en-US"/>
              </w:rPr>
            </w:pPr>
            <w:r>
              <w:rPr>
                <w:rFonts w:ascii="Arial" w:hAnsi="Arial" w:cs="Arial"/>
                <w:b/>
                <w:color w:val="000000"/>
                <w:sz w:val="22"/>
                <w:szCs w:val="22"/>
                <w:lang w:eastAsia="en-US"/>
              </w:rPr>
              <w:t>PRACA W SIECI MONITOROWANIA/ WYSYŁANIE DANYCH</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firstLine="0"/>
              <w:rPr>
                <w:rFonts w:ascii="Arial" w:hAnsi="Arial" w:cs="Arial"/>
                <w:sz w:val="22"/>
                <w:szCs w:val="22"/>
                <w:lang w:eastAsia="en-US"/>
              </w:rPr>
            </w:pPr>
            <w:r>
              <w:rPr>
                <w:rFonts w:ascii="Arial" w:hAnsi="Arial" w:cs="Arial"/>
                <w:color w:val="000000"/>
                <w:sz w:val="22"/>
                <w:szCs w:val="22"/>
                <w:lang w:eastAsia="en-US"/>
              </w:rPr>
              <w:t xml:space="preserve">Możliwość współpracy z centralą pielęgniarską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firstLine="0"/>
              <w:rPr>
                <w:rFonts w:ascii="Arial" w:hAnsi="Arial" w:cs="Arial"/>
                <w:sz w:val="22"/>
                <w:szCs w:val="22"/>
                <w:lang w:eastAsia="en-US"/>
              </w:rPr>
            </w:pPr>
            <w:r>
              <w:rPr>
                <w:rFonts w:ascii="Arial" w:hAnsi="Arial" w:cs="Arial"/>
                <w:color w:val="000000"/>
                <w:sz w:val="22"/>
                <w:szCs w:val="22"/>
                <w:lang w:eastAsia="en-US"/>
              </w:rPr>
              <w:t>Możliwość podłączenia do monitora, bez pośrednictwa centrali, sieciowej drukarki laserowej i wykonywania wydruków na standardowym papierze formatu A4: krzywych dynamicznych oraz trendów graficznych i tabelarycznych.</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Możliwość bezpośredniego wysyłania danych w standardzie HL7 (wartości parametrów, krzywe i alarmy) z monitora pacjenta bez pośrednictwa centrali lub innego urządzenia typu bramka.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 xml:space="preserve">Monitor przystosowany do współpracy z nadajnikiem telemetrycznym z możliwością przeglądania danych pomiarów z urządzenia telemetrycznego na ekranie monitora.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5.</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Funkcja monitorowania alarmów z innych kardiomonitorów podłączonych do tej samej sieci (co najmniej dwa jednocześnie)</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Funkcja wyświetlania danych z innych kardiomonitorów podłączonych do tej samej sieci, w tym wartości z co najmniej 12 kardiomonitorów, a krzywych i wartości z jednego wybranego kardiomonitora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4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Informacje o pacjencie, ustawienia alarmów synchronizowane pomiędzy</w:t>
            </w:r>
          </w:p>
          <w:p w:rsidR="000D2ED9" w:rsidRDefault="000D2ED9">
            <w:pPr>
              <w:autoSpaceDE w:val="0"/>
              <w:spacing w:line="276" w:lineRule="auto"/>
              <w:jc w:val="both"/>
              <w:rPr>
                <w:rFonts w:ascii="Arial" w:hAnsi="Arial" w:cs="Arial"/>
                <w:sz w:val="22"/>
                <w:szCs w:val="22"/>
                <w:lang w:eastAsia="en-US"/>
              </w:rPr>
            </w:pPr>
            <w:r>
              <w:rPr>
                <w:rFonts w:ascii="Arial" w:hAnsi="Arial" w:cs="Arial"/>
                <w:color w:val="000000"/>
                <w:sz w:val="22"/>
                <w:szCs w:val="22"/>
                <w:lang w:eastAsia="en-US"/>
              </w:rPr>
              <w:t xml:space="preserve">monitorem i centralą </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8.</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jc w:val="both"/>
              <w:rPr>
                <w:rFonts w:ascii="Arial" w:hAnsi="Arial" w:cs="Arial"/>
                <w:color w:val="000000"/>
                <w:sz w:val="22"/>
                <w:szCs w:val="22"/>
                <w:lang w:eastAsia="en-US"/>
              </w:rPr>
            </w:pPr>
            <w:r>
              <w:rPr>
                <w:rFonts w:ascii="Arial" w:hAnsi="Arial" w:cs="Arial"/>
                <w:color w:val="000000"/>
                <w:sz w:val="22"/>
                <w:szCs w:val="22"/>
                <w:lang w:eastAsia="en-US"/>
              </w:rPr>
              <w:t>Możliwość zdalnej aktualizacji oprogramowania poprzez stację centralnego nadzoru</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9.</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b/>
                <w:bCs/>
                <w:sz w:val="22"/>
                <w:szCs w:val="22"/>
                <w:lang w:eastAsia="en-US"/>
              </w:rPr>
              <w:t xml:space="preserve">Monitor (moduł) transportowy z podglądem monitorowanych parametrów – w każdym oferowanym monitorze pacjenta. </w:t>
            </w:r>
          </w:p>
          <w:p w:rsidR="000D2ED9" w:rsidRDefault="000D2ED9">
            <w:pPr>
              <w:autoSpaceDE w:val="0"/>
              <w:spacing w:line="276" w:lineRule="auto"/>
              <w:ind w:left="81"/>
              <w:jc w:val="both"/>
              <w:rPr>
                <w:rFonts w:ascii="Arial" w:hAnsi="Arial" w:cs="Arial"/>
                <w:sz w:val="22"/>
                <w:szCs w:val="22"/>
                <w:lang w:eastAsia="en-US"/>
              </w:rPr>
            </w:pPr>
            <w:r>
              <w:rPr>
                <w:rFonts w:ascii="Arial" w:hAnsi="Arial" w:cs="Arial"/>
                <w:sz w:val="22"/>
                <w:szCs w:val="22"/>
                <w:lang w:eastAsia="en-US"/>
              </w:rPr>
              <w:t>Monitorowanie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rsidR="000D2ED9" w:rsidRDefault="000D2ED9">
            <w:pPr>
              <w:autoSpaceDE w:val="0"/>
              <w:spacing w:line="276" w:lineRule="auto"/>
              <w:ind w:left="81"/>
              <w:jc w:val="both"/>
              <w:rPr>
                <w:rFonts w:ascii="Arial" w:hAnsi="Arial" w:cs="Arial"/>
                <w:sz w:val="22"/>
                <w:szCs w:val="22"/>
                <w:lang w:eastAsia="en-US"/>
              </w:rPr>
            </w:pPr>
            <w:r>
              <w:rPr>
                <w:rFonts w:ascii="Arial" w:hAnsi="Arial" w:cs="Arial"/>
                <w:sz w:val="22"/>
                <w:szCs w:val="22"/>
                <w:lang w:eastAsia="en-US"/>
              </w:rPr>
              <w:t>drutem; ochrona przed szkodliwym wpływem rozpryskiwanej wody – stopień ochrony co najmniej IP44.</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sz w:val="22"/>
                <w:szCs w:val="22"/>
                <w:lang w:eastAsia="en-US"/>
              </w:rPr>
            </w:pPr>
            <w:r>
              <w:rPr>
                <w:rFonts w:ascii="Arial" w:hAnsi="Arial" w:cs="Arial"/>
                <w:b/>
                <w:color w:val="000000"/>
                <w:sz w:val="22"/>
                <w:szCs w:val="22"/>
                <w:lang w:eastAsia="en-US"/>
              </w:rPr>
              <w:t>MIERZONE PARAMETRY</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EKG - pomiar częstości akcji serca. Zakres minimum 20-300/min. Ustawianie prędkości przesuwu krzywej EKG do wyboru co najmniej: 6.25; 12.5; 25; 50 mm/s. Ustawianie wzmocnienia krzywej EKG do wyboru co najmniej: x0.125; x0.25; 0.5; x1; x2; x4; auto. </w:t>
            </w:r>
          </w:p>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Monitorowanie do 7 </w:t>
            </w:r>
            <w:proofErr w:type="spellStart"/>
            <w:r>
              <w:rPr>
                <w:rFonts w:ascii="Arial" w:hAnsi="Arial" w:cs="Arial"/>
                <w:color w:val="000000"/>
                <w:sz w:val="22"/>
                <w:szCs w:val="22"/>
                <w:lang w:eastAsia="en-US"/>
              </w:rPr>
              <w:t>odprowadzeń</w:t>
            </w:r>
            <w:proofErr w:type="spellEnd"/>
            <w:r>
              <w:rPr>
                <w:rFonts w:ascii="Arial" w:hAnsi="Arial" w:cs="Arial"/>
                <w:color w:val="000000"/>
                <w:sz w:val="22"/>
                <w:szCs w:val="22"/>
                <w:lang w:eastAsia="en-US"/>
              </w:rPr>
              <w:t xml:space="preserve"> jednocześnie. </w:t>
            </w:r>
          </w:p>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W komplecie z monitorem: przewód EKG z kompletem 5 końcówek.</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Analiza arytmii – wykrywanie co najmniej 24 kategorie zaburzeń rytmu w tym VF, ASYS, BRADY, TACHY, AF. Wykorzystywanie do analizy EKG co najmniej 4 </w:t>
            </w:r>
            <w:proofErr w:type="spellStart"/>
            <w:r>
              <w:rPr>
                <w:rFonts w:ascii="Arial" w:hAnsi="Arial" w:cs="Arial"/>
                <w:color w:val="000000"/>
                <w:sz w:val="22"/>
                <w:szCs w:val="22"/>
                <w:lang w:eastAsia="en-US"/>
              </w:rPr>
              <w:t>odprowadzeń</w:t>
            </w:r>
            <w:proofErr w:type="spellEnd"/>
            <w:r>
              <w:rPr>
                <w:rFonts w:ascii="Arial" w:hAnsi="Arial" w:cs="Arial"/>
                <w:color w:val="000000"/>
                <w:sz w:val="22"/>
                <w:szCs w:val="22"/>
                <w:lang w:eastAsia="en-US"/>
              </w:rPr>
              <w:t xml:space="preserve"> EKG jednocześnie. Możliwość wyboru odprowadzeni do analizy przez użytkownika.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Analiza odcinka ST – jednoczesny pomiar odchylenia odcinka ST w siedmiu </w:t>
            </w:r>
            <w:proofErr w:type="spellStart"/>
            <w:r>
              <w:rPr>
                <w:rFonts w:ascii="Arial" w:hAnsi="Arial" w:cs="Arial"/>
                <w:color w:val="000000"/>
                <w:sz w:val="22"/>
                <w:szCs w:val="22"/>
                <w:lang w:eastAsia="en-US"/>
              </w:rPr>
              <w:t>odprowadzeniach</w:t>
            </w:r>
            <w:proofErr w:type="spellEnd"/>
            <w:r>
              <w:rPr>
                <w:rFonts w:ascii="Arial" w:hAnsi="Arial" w:cs="Arial"/>
                <w:color w:val="000000"/>
                <w:sz w:val="22"/>
                <w:szCs w:val="22"/>
                <w:lang w:eastAsia="en-US"/>
              </w:rPr>
              <w:t xml:space="preserve"> w zakresie co najmniej od -2,0 do +2,0 </w:t>
            </w:r>
            <w:proofErr w:type="spellStart"/>
            <w:r>
              <w:rPr>
                <w:rFonts w:ascii="Arial" w:hAnsi="Arial" w:cs="Arial"/>
                <w:color w:val="000000"/>
                <w:sz w:val="22"/>
                <w:szCs w:val="22"/>
                <w:lang w:eastAsia="en-US"/>
              </w:rPr>
              <w:t>mV</w:t>
            </w:r>
            <w:proofErr w:type="spellEnd"/>
            <w:r>
              <w:rPr>
                <w:rFonts w:ascii="Arial" w:hAnsi="Arial" w:cs="Arial"/>
                <w:color w:val="000000"/>
                <w:sz w:val="22"/>
                <w:szCs w:val="22"/>
                <w:lang w:eastAsia="en-US"/>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Analiza zmian odcinka QT oraz obliczanie wartości </w:t>
            </w:r>
            <w:proofErr w:type="spellStart"/>
            <w:r>
              <w:rPr>
                <w:rFonts w:ascii="Arial" w:hAnsi="Arial" w:cs="Arial"/>
                <w:color w:val="000000"/>
                <w:sz w:val="22"/>
                <w:szCs w:val="22"/>
                <w:lang w:eastAsia="en-US"/>
              </w:rPr>
              <w:t>QTc</w:t>
            </w:r>
            <w:proofErr w:type="spellEnd"/>
            <w:r>
              <w:rPr>
                <w:rFonts w:ascii="Arial" w:hAnsi="Arial" w:cs="Arial"/>
                <w:color w:val="000000"/>
                <w:sz w:val="22"/>
                <w:szCs w:val="22"/>
                <w:lang w:eastAsia="en-US"/>
              </w:rPr>
              <w:t xml:space="preserve"> wg. co najmniej 4 wzorów</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5.</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Saturacja (SpO2). Zakres pomiarowy %SpO2 0-100%. Zakres pomiarowy częstości pulsu co najmniej 20-300 P/min. Jednoczesne wyświetlanie krzywej </w:t>
            </w:r>
            <w:proofErr w:type="spellStart"/>
            <w:r>
              <w:rPr>
                <w:rFonts w:ascii="Arial" w:hAnsi="Arial" w:cs="Arial"/>
                <w:color w:val="000000"/>
                <w:sz w:val="22"/>
                <w:szCs w:val="22"/>
                <w:lang w:eastAsia="en-US"/>
              </w:rPr>
              <w:t>pletyzmograficznej</w:t>
            </w:r>
            <w:proofErr w:type="spellEnd"/>
            <w:r>
              <w:rPr>
                <w:rFonts w:ascii="Arial" w:hAnsi="Arial" w:cs="Arial"/>
                <w:color w:val="000000"/>
                <w:sz w:val="22"/>
                <w:szCs w:val="22"/>
                <w:lang w:eastAsia="en-US"/>
              </w:rPr>
              <w:t xml:space="preserve"> oraz wartości %saturacji, częstości pulsu i wskaźnika perfuzji. Alarm </w:t>
            </w:r>
            <w:proofErr w:type="spellStart"/>
            <w:r>
              <w:rPr>
                <w:rFonts w:ascii="Arial" w:hAnsi="Arial" w:cs="Arial"/>
                <w:color w:val="000000"/>
                <w:sz w:val="22"/>
                <w:szCs w:val="22"/>
                <w:lang w:eastAsia="en-US"/>
              </w:rPr>
              <w:t>desaturacji</w:t>
            </w:r>
            <w:proofErr w:type="spellEnd"/>
            <w:r>
              <w:rPr>
                <w:rFonts w:ascii="Arial" w:hAnsi="Arial" w:cs="Arial"/>
                <w:color w:val="000000"/>
                <w:sz w:val="22"/>
                <w:szCs w:val="22"/>
                <w:lang w:eastAsia="en-US"/>
              </w:rPr>
              <w:t>. Wyświetlanie statystyk pomiaru SpO2 w postaci wykresów słupkowych. W komplecie z monitorem  przewód interfejsowy oraz wielorazowy czujnik SpO2 typu klips na palec.</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7.</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 xml:space="preserve">Nieinwazyjny pomiar ciśnienia (NIPC) metodą oscylometryczną. Pomiar ręczny, automatyczny, ciągły (powtarzające się pomiary w czasie 5 min). Zakres pomiarowy ciśnienia skurczowego co najmniej od 10 do 290 mmHg.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w:t>
            </w:r>
            <w:proofErr w:type="spellStart"/>
            <w:r>
              <w:rPr>
                <w:rFonts w:ascii="Arial" w:hAnsi="Arial" w:cs="Arial"/>
                <w:color w:val="000000"/>
                <w:sz w:val="22"/>
                <w:szCs w:val="22"/>
                <w:lang w:eastAsia="en-US"/>
              </w:rPr>
              <w:t>stazy</w:t>
            </w:r>
            <w:proofErr w:type="spellEnd"/>
            <w:r>
              <w:rPr>
                <w:rFonts w:ascii="Arial" w:hAnsi="Arial" w:cs="Arial"/>
                <w:color w:val="000000"/>
                <w:sz w:val="22"/>
                <w:szCs w:val="22"/>
                <w:lang w:eastAsia="en-US"/>
              </w:rPr>
              <w:t>. Funkcja wstępnego ustawiania ciśnienia pompowania mankietu. Pomiar częstości pulsu wraz z nieinwazyjnym ciśnieniem co najmniej w zakresie od 30 do 300 P/min. W komplecie z każdym monitorem przewód oraz mankiet średni.</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8.</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Pomiar temperatury, dwa tory pomiarowe. Zakres pomiarowy co najmniej od 5 do 50</w:t>
            </w:r>
            <w:r>
              <w:rPr>
                <w:rFonts w:ascii="Arial" w:hAnsi="Arial" w:cs="Arial"/>
                <w:color w:val="000000"/>
                <w:sz w:val="22"/>
                <w:szCs w:val="22"/>
                <w:vertAlign w:val="superscript"/>
                <w:lang w:eastAsia="en-US"/>
              </w:rPr>
              <w:t>o</w:t>
            </w:r>
            <w:r>
              <w:rPr>
                <w:rFonts w:ascii="Arial" w:hAnsi="Arial" w:cs="Arial"/>
                <w:color w:val="000000"/>
                <w:sz w:val="22"/>
                <w:szCs w:val="22"/>
                <w:lang w:eastAsia="en-US"/>
              </w:rPr>
              <w:t>C. Wyświetlanie T1, T2 oraz różnicy między nimi. Wybór etykiety  temperatury zgodnie z miejscem pomiaru z listy co najmniej 10 etykiet zapisanych w pamięci monitora. Możliwość rozbudowy monitora o co najmniej kolejne 4 tory pomiarowe temperatury.</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9.</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sz w:val="22"/>
                <w:szCs w:val="22"/>
                <w:lang w:eastAsia="en-US"/>
              </w:rPr>
              <w:t>Inwazyjny pomiar ciśnienia(</w:t>
            </w:r>
            <w:r>
              <w:rPr>
                <w:rFonts w:ascii="Arial" w:hAnsi="Arial" w:cs="Arial"/>
                <w:b/>
                <w:sz w:val="22"/>
                <w:szCs w:val="22"/>
                <w:lang w:eastAsia="en-US"/>
              </w:rPr>
              <w:t>IBP</w:t>
            </w:r>
            <w:r>
              <w:rPr>
                <w:rFonts w:ascii="Arial" w:hAnsi="Arial" w:cs="Arial"/>
                <w:sz w:val="22"/>
                <w:szCs w:val="22"/>
                <w:lang w:eastAsia="en-US"/>
              </w:rPr>
              <w:t>), dwa tory pomiarowe (na wszystkich  stanowiskach). Wyświetlanie wartości skurczowych, rozkurczowych i średnich. Zakres pomiarowy inwazyjnego ciśnienia co najmniej od -50 do +350 mmHg. Obliczanie wartości PPV. Pomiar częstości pulsu wraz z inwazyjnym ciśnieniem co najmniej w zakresie od 30 do 300 P/min. Funkcja wyświetlania dwóch krzywych ciśnienia inwazyjnego ze wspólnym poziomem zero. W komplecie  przewód połączeniowy do przetwornika ciśnienia.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266"/>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10.</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81"/>
              <w:jc w:val="both"/>
              <w:rPr>
                <w:rFonts w:ascii="Arial" w:hAnsi="Arial" w:cs="Arial"/>
                <w:sz w:val="22"/>
                <w:szCs w:val="22"/>
                <w:lang w:eastAsia="en-US"/>
              </w:rPr>
            </w:pPr>
            <w:r>
              <w:rPr>
                <w:rFonts w:ascii="Arial" w:hAnsi="Arial" w:cs="Arial"/>
                <w:sz w:val="22"/>
                <w:szCs w:val="22"/>
                <w:lang w:eastAsia="en-US"/>
              </w:rPr>
              <w:t xml:space="preserve">Moduł pomiarowy przewodnictwa nerwowo-mięśniowego </w:t>
            </w:r>
            <w:r>
              <w:rPr>
                <w:rFonts w:ascii="Arial" w:hAnsi="Arial" w:cs="Arial"/>
                <w:b/>
                <w:bCs/>
                <w:sz w:val="22"/>
                <w:szCs w:val="22"/>
                <w:lang w:eastAsia="en-US"/>
              </w:rPr>
              <w:t>(NMT) w każdym oferowanym monitorze pacjenta.</w:t>
            </w:r>
          </w:p>
          <w:p w:rsidR="000D2ED9" w:rsidRDefault="000D2ED9">
            <w:pPr>
              <w:snapToGrid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Wyświetlanie odczytów NMT na ekranie kardiomonitora.</w:t>
            </w:r>
          </w:p>
          <w:p w:rsidR="000D2ED9" w:rsidRDefault="000D2ED9">
            <w:pPr>
              <w:snapToGrid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Dostępne tryby stymulacji:  co najmniej TOF, ST, PTC, DBS</w:t>
            </w:r>
          </w:p>
          <w:p w:rsidR="000D2ED9" w:rsidRDefault="000D2ED9">
            <w:pPr>
              <w:snapToGrid w:val="0"/>
              <w:spacing w:line="276" w:lineRule="auto"/>
              <w:ind w:left="81"/>
              <w:jc w:val="both"/>
              <w:rPr>
                <w:rFonts w:ascii="Arial" w:hAnsi="Arial" w:cs="Arial"/>
                <w:sz w:val="22"/>
                <w:szCs w:val="22"/>
                <w:lang w:eastAsia="en-US"/>
              </w:rPr>
            </w:pPr>
            <w:r>
              <w:rPr>
                <w:rFonts w:ascii="Arial" w:hAnsi="Arial" w:cs="Arial"/>
                <w:color w:val="000000"/>
                <w:sz w:val="22"/>
                <w:szCs w:val="22"/>
                <w:lang w:eastAsia="en-US"/>
              </w:rPr>
              <w:t xml:space="preserve">Możliwość ustawienia prądu stymulacji. </w:t>
            </w:r>
            <w:r>
              <w:rPr>
                <w:rFonts w:ascii="Arial" w:hAnsi="Arial" w:cs="Arial"/>
                <w:sz w:val="22"/>
                <w:szCs w:val="22"/>
                <w:lang w:eastAsia="en-US"/>
              </w:rPr>
              <w:t xml:space="preserve">W komplecie z modułem NMT czujnik </w:t>
            </w:r>
            <w:proofErr w:type="spellStart"/>
            <w:r>
              <w:rPr>
                <w:rFonts w:ascii="Arial" w:hAnsi="Arial" w:cs="Arial"/>
                <w:sz w:val="22"/>
                <w:szCs w:val="22"/>
                <w:lang w:eastAsia="en-US"/>
              </w:rPr>
              <w:t>akceleromiograficzny</w:t>
            </w:r>
            <w:proofErr w:type="spellEnd"/>
            <w:r>
              <w:rPr>
                <w:rFonts w:ascii="Arial" w:hAnsi="Arial" w:cs="Arial"/>
                <w:sz w:val="22"/>
                <w:szCs w:val="22"/>
                <w:lang w:eastAsia="en-US"/>
              </w:rPr>
              <w:t xml:space="preserve"> na palec, niezbędne przewody połączeniowe i co najmniej 20 szt. elektrod, 3 szt. wielorazowy adapter do mocowania czujnika na kciuku</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888"/>
        </w:trPr>
        <w:tc>
          <w:tcPr>
            <w:tcW w:w="1134"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11.</w:t>
            </w:r>
          </w:p>
        </w:tc>
        <w:tc>
          <w:tcPr>
            <w:tcW w:w="7937"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spacing w:line="276" w:lineRule="auto"/>
              <w:ind w:left="81"/>
              <w:jc w:val="both"/>
              <w:rPr>
                <w:rFonts w:ascii="Arial" w:hAnsi="Arial" w:cs="Arial"/>
                <w:sz w:val="22"/>
                <w:szCs w:val="22"/>
                <w:lang w:eastAsia="en-US"/>
              </w:rPr>
            </w:pPr>
            <w:r>
              <w:rPr>
                <w:rFonts w:ascii="Arial" w:hAnsi="Arial" w:cs="Arial"/>
                <w:sz w:val="22"/>
                <w:szCs w:val="22"/>
                <w:lang w:eastAsia="en-US"/>
              </w:rPr>
              <w:t xml:space="preserve">Moduł pomiaru głębokości uśpienia </w:t>
            </w:r>
            <w:r>
              <w:rPr>
                <w:rFonts w:ascii="Arial" w:hAnsi="Arial" w:cs="Arial"/>
                <w:b/>
                <w:bCs/>
                <w:sz w:val="22"/>
                <w:szCs w:val="22"/>
                <w:lang w:eastAsia="en-US"/>
              </w:rPr>
              <w:t>(BIS) w każdym oferowanym monitorze pacjenta.</w:t>
            </w:r>
            <w:r>
              <w:rPr>
                <w:rFonts w:ascii="Arial" w:hAnsi="Arial" w:cs="Arial"/>
                <w:sz w:val="22"/>
                <w:szCs w:val="22"/>
                <w:lang w:eastAsia="en-US"/>
              </w:rPr>
              <w:t xml:space="preserve"> Wyświetlanie krzywej BIS z elektrod umieszczonych na czole pacjenta. Pomiar i wyświetlanie wartości liczbowej indeksu BIS w skali od 0 do 100. Pomoc ekranowa – wyświetlanie informacji o zasadach monitorowania, funkcjach i procedurach operacyjnych dotyczącymi BIS. Możliwość rozbudowy o dwustronny pomiar BIS. W ofercie z modułem przewód połączeniowy oraz 5 jednorazowych czujników na czoło.</w:t>
            </w:r>
          </w:p>
        </w:tc>
        <w:tc>
          <w:tcPr>
            <w:tcW w:w="1985"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396"/>
        </w:trPr>
        <w:tc>
          <w:tcPr>
            <w:tcW w:w="1134"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12.</w:t>
            </w:r>
          </w:p>
        </w:tc>
        <w:tc>
          <w:tcPr>
            <w:tcW w:w="7937"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pacing w:line="276" w:lineRule="auto"/>
              <w:ind w:left="81"/>
              <w:jc w:val="both"/>
              <w:rPr>
                <w:rFonts w:ascii="Arial" w:hAnsi="Arial" w:cs="Arial"/>
                <w:sz w:val="22"/>
                <w:szCs w:val="22"/>
                <w:lang w:eastAsia="en-US"/>
              </w:rPr>
            </w:pPr>
            <w:r>
              <w:rPr>
                <w:rFonts w:ascii="Arial" w:eastAsia="Calibri" w:hAnsi="Arial" w:cs="Arial"/>
                <w:sz w:val="22"/>
                <w:szCs w:val="22"/>
                <w:lang w:eastAsia="en-US"/>
              </w:rPr>
              <w:t xml:space="preserve">Dwa moduły </w:t>
            </w:r>
            <w:bookmarkStart w:id="0" w:name="_GoBack"/>
            <w:bookmarkEnd w:id="0"/>
            <w:r>
              <w:rPr>
                <w:rFonts w:ascii="Arial" w:eastAsia="Calibri" w:hAnsi="Arial" w:cs="Arial"/>
                <w:sz w:val="22"/>
                <w:szCs w:val="22"/>
                <w:lang w:eastAsia="en-US"/>
              </w:rPr>
              <w:t xml:space="preserve">pomiaru rzutu minutowego serca metodą </w:t>
            </w:r>
            <w:proofErr w:type="spellStart"/>
            <w:r>
              <w:rPr>
                <w:rFonts w:ascii="Arial" w:eastAsia="Calibri" w:hAnsi="Arial" w:cs="Arial"/>
                <w:sz w:val="22"/>
                <w:szCs w:val="22"/>
                <w:lang w:eastAsia="en-US"/>
              </w:rPr>
              <w:t>FloTrac</w:t>
            </w:r>
            <w:proofErr w:type="spellEnd"/>
            <w:r>
              <w:rPr>
                <w:rFonts w:ascii="Arial" w:eastAsia="Calibri" w:hAnsi="Arial" w:cs="Arial"/>
                <w:sz w:val="22"/>
                <w:szCs w:val="22"/>
                <w:lang w:eastAsia="en-US"/>
              </w:rPr>
              <w:t xml:space="preserve">, wykorzystującą sygnał ciśnienia tętniczego krwi uzyskany poprzez cewnik tętniczy, bez konieczności stosowania </w:t>
            </w:r>
            <w:proofErr w:type="spellStart"/>
            <w:r>
              <w:rPr>
                <w:rFonts w:ascii="Arial" w:eastAsia="Calibri" w:hAnsi="Arial" w:cs="Arial"/>
                <w:sz w:val="22"/>
                <w:szCs w:val="22"/>
                <w:lang w:eastAsia="en-US"/>
              </w:rPr>
              <w:t>termodylucji</w:t>
            </w:r>
            <w:proofErr w:type="spellEnd"/>
            <w:r>
              <w:rPr>
                <w:rFonts w:ascii="Arial" w:eastAsia="Calibri" w:hAnsi="Arial" w:cs="Arial"/>
                <w:sz w:val="22"/>
                <w:szCs w:val="22"/>
                <w:lang w:eastAsia="en-US"/>
              </w:rPr>
              <w:t>. Moduł pozwala na wyświetlanie na ekranie monitora pacjenta następujących parametrów: CCO, CCI, SV, SVI, SVR, SVRI. Możliwość przenoszenia modułu pomiędzy monitorami pacjenta</w:t>
            </w:r>
          </w:p>
        </w:tc>
        <w:tc>
          <w:tcPr>
            <w:tcW w:w="1985"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
                <w:color w:val="000000"/>
                <w:sz w:val="22"/>
                <w:szCs w:val="22"/>
                <w:lang w:eastAsia="en-US"/>
              </w:rPr>
            </w:pPr>
            <w:r>
              <w:rPr>
                <w:rFonts w:ascii="Arial" w:hAnsi="Arial" w:cs="Arial"/>
                <w:b/>
                <w:color w:val="000000"/>
                <w:sz w:val="22"/>
                <w:szCs w:val="22"/>
                <w:lang w:eastAsia="en-US"/>
              </w:rPr>
              <w:t>INNE FUNKCJE I APLIKACJE KLINICZNE</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Monitor wyposażony w funkcję obliczania punktacji do oceny poziomu świadomości wg. skali Glasgow (GCS).</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2.</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wyświetlania statystyki SpO2 w wybranymi przez użytkownika przedziale czasowym (od 0,5 do 24 godzin) z prezentacją % udziału zaprogramowanych przez użytkownika przedziałów wartości %SpO2 w badanym przedziale czasowym, z wyborem zakresu docelowego</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3.</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„oczekiwanie”, pozwalająca na wstrzymanie monitorowania pacjenta, związane np. z czasowym odłączeniem go od monitora, bez konieczności wyłączania monitora, i na szybkie, ponowne uruchomienie monitorowania.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sz w:val="22"/>
                <w:szCs w:val="22"/>
                <w:lang w:eastAsia="en-US"/>
              </w:rPr>
            </w:pPr>
            <w:r>
              <w:rPr>
                <w:rFonts w:ascii="Arial" w:hAnsi="Arial" w:cs="Arial"/>
                <w:color w:val="000000"/>
                <w:sz w:val="22"/>
                <w:szCs w:val="22"/>
                <w:lang w:eastAsia="en-US"/>
              </w:rPr>
              <w:t>4.</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color w:val="000000"/>
                <w:sz w:val="22"/>
                <w:szCs w:val="22"/>
                <w:lang w:eastAsia="en-US"/>
              </w:rPr>
              <w:t>Funkcja „tryb prywatny” pozwalająca - w przypadku podłączenia urządzenia do centrali - na ukrycie danych przed pacjentem i wyświetlanie ich tylko na stanowisku centralnym.</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491"/>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ind w:left="192"/>
              <w:jc w:val="center"/>
              <w:rPr>
                <w:rFonts w:ascii="Arial" w:hAnsi="Arial" w:cs="Arial"/>
                <w:color w:val="000000"/>
                <w:sz w:val="22"/>
                <w:szCs w:val="22"/>
                <w:lang w:eastAsia="en-US"/>
              </w:rPr>
            </w:pPr>
            <w:r>
              <w:rPr>
                <w:rFonts w:ascii="Arial" w:hAnsi="Arial" w:cs="Arial"/>
                <w:color w:val="000000"/>
                <w:sz w:val="22"/>
                <w:szCs w:val="22"/>
                <w:lang w:eastAsia="en-US"/>
              </w:rPr>
              <w:t>5.</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color w:val="000000"/>
                <w:sz w:val="22"/>
                <w:szCs w:val="22"/>
                <w:lang w:eastAsia="en-US"/>
              </w:rPr>
            </w:pPr>
            <w:r>
              <w:rPr>
                <w:rFonts w:ascii="Arial" w:hAnsi="Arial" w:cs="Arial"/>
                <w:color w:val="000000"/>
                <w:sz w:val="22"/>
                <w:szCs w:val="22"/>
                <w:lang w:eastAsia="en-US"/>
              </w:rPr>
              <w:t>Funkcja wyświetlania stoperów z odmierzaniem czasu malejąco oraz rosnąco</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napToGrid w:val="0"/>
              <w:ind w:left="1043"/>
              <w:rPr>
                <w:rFonts w:ascii="Arial" w:hAnsi="Arial" w:cs="Arial"/>
                <w:color w:val="000000"/>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color w:val="000000"/>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widowControl w:val="0"/>
              <w:shd w:val="clear" w:color="auto" w:fill="FFFFFF"/>
              <w:tabs>
                <w:tab w:val="left" w:pos="365"/>
              </w:tabs>
              <w:autoSpaceDE w:val="0"/>
              <w:spacing w:line="276" w:lineRule="auto"/>
              <w:ind w:left="192"/>
              <w:jc w:val="center"/>
              <w:rPr>
                <w:rFonts w:ascii="Arial" w:hAnsi="Arial" w:cs="Arial"/>
                <w:sz w:val="22"/>
                <w:szCs w:val="22"/>
                <w:lang w:eastAsia="en-US"/>
              </w:rPr>
            </w:pPr>
            <w:r>
              <w:rPr>
                <w:rFonts w:ascii="Arial" w:hAnsi="Arial" w:cs="Arial"/>
                <w:sz w:val="22"/>
                <w:szCs w:val="22"/>
                <w:lang w:eastAsia="en-US"/>
              </w:rPr>
              <w:t>6.</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spacing w:line="240" w:lineRule="auto"/>
              <w:ind w:left="81" w:firstLine="0"/>
              <w:rPr>
                <w:rFonts w:ascii="Arial" w:hAnsi="Arial" w:cs="Arial"/>
                <w:sz w:val="22"/>
                <w:szCs w:val="22"/>
                <w:lang w:eastAsia="en-US"/>
              </w:rPr>
            </w:pPr>
            <w:r>
              <w:rPr>
                <w:rFonts w:ascii="Arial" w:hAnsi="Arial" w:cs="Arial"/>
                <w:sz w:val="22"/>
                <w:szCs w:val="22"/>
                <w:lang w:eastAsia="en-US"/>
              </w:rPr>
              <w:t>Możliwość rozbudowy oferowanego monitora o funkcje wspomagania decyzji klinicznych:</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rsidP="009B3234">
            <w:pPr>
              <w:pStyle w:val="Style10"/>
              <w:numPr>
                <w:ilvl w:val="0"/>
                <w:numId w:val="1"/>
              </w:numPr>
              <w:suppressAutoHyphens/>
              <w:autoSpaceDN/>
              <w:adjustRightInd/>
              <w:spacing w:line="240" w:lineRule="auto"/>
              <w:ind w:left="81" w:firstLine="0"/>
              <w:rPr>
                <w:rFonts w:ascii="Arial" w:hAnsi="Arial" w:cs="Arial"/>
                <w:sz w:val="22"/>
                <w:szCs w:val="22"/>
                <w:lang w:eastAsia="en-US"/>
              </w:rPr>
            </w:pPr>
            <w:r>
              <w:rPr>
                <w:rFonts w:ascii="Arial" w:hAnsi="Arial" w:cs="Arial"/>
                <w:sz w:val="22"/>
                <w:szCs w:val="22"/>
                <w:lang w:eastAsia="en-US"/>
              </w:rPr>
              <w:t>dotyczących układu sercowo-krążeniowo i oddechowego z przedstawieniem w formie animacji zmian parametrów związanych z obciążeniem wstępnym, pracą serca, wodą w płucach , obciążeniem następczym</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rsidP="009B3234">
            <w:pPr>
              <w:numPr>
                <w:ilvl w:val="0"/>
                <w:numId w:val="1"/>
              </w:numPr>
              <w:suppressAutoHyphens/>
              <w:autoSpaceDE w:val="0"/>
              <w:spacing w:line="276" w:lineRule="auto"/>
              <w:ind w:left="81" w:firstLine="0"/>
              <w:jc w:val="both"/>
              <w:rPr>
                <w:rFonts w:ascii="Arial" w:hAnsi="Arial" w:cs="Arial"/>
                <w:sz w:val="22"/>
                <w:szCs w:val="22"/>
                <w:lang w:eastAsia="en-US"/>
              </w:rPr>
            </w:pPr>
            <w:proofErr w:type="spellStart"/>
            <w:r>
              <w:rPr>
                <w:rFonts w:ascii="Arial" w:hAnsi="Arial" w:cs="Arial"/>
                <w:sz w:val="22"/>
                <w:szCs w:val="22"/>
                <w:lang w:val="en-US" w:eastAsia="en-US"/>
              </w:rPr>
              <w:t>związanych</w:t>
            </w:r>
            <w:proofErr w:type="spellEnd"/>
            <w:r>
              <w:rPr>
                <w:rFonts w:ascii="Arial" w:hAnsi="Arial" w:cs="Arial"/>
                <w:sz w:val="22"/>
                <w:szCs w:val="22"/>
                <w:lang w:val="en-US" w:eastAsia="en-US"/>
              </w:rPr>
              <w:t xml:space="preserve"> z </w:t>
            </w:r>
            <w:proofErr w:type="spellStart"/>
            <w:r>
              <w:rPr>
                <w:rFonts w:ascii="Arial" w:hAnsi="Arial" w:cs="Arial"/>
                <w:sz w:val="22"/>
                <w:szCs w:val="22"/>
                <w:lang w:val="en-US" w:eastAsia="en-US"/>
              </w:rPr>
              <w:t>diagnozą</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i</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prowadzeniem</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terapii</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sepsy</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zgodnie</w:t>
            </w:r>
            <w:proofErr w:type="spellEnd"/>
            <w:r>
              <w:rPr>
                <w:rFonts w:ascii="Arial" w:hAnsi="Arial" w:cs="Arial"/>
                <w:sz w:val="22"/>
                <w:szCs w:val="22"/>
                <w:lang w:val="en-US" w:eastAsia="en-US"/>
              </w:rPr>
              <w:t xml:space="preserve"> z </w:t>
            </w:r>
            <w:proofErr w:type="spellStart"/>
            <w:r>
              <w:rPr>
                <w:rFonts w:ascii="Arial" w:hAnsi="Arial" w:cs="Arial"/>
                <w:sz w:val="22"/>
                <w:szCs w:val="22"/>
                <w:lang w:val="en-US" w:eastAsia="en-US"/>
              </w:rPr>
              <w:t>zaleceniami</w:t>
            </w:r>
            <w:proofErr w:type="spellEnd"/>
            <w:r>
              <w:rPr>
                <w:rFonts w:ascii="Arial" w:hAnsi="Arial" w:cs="Arial"/>
                <w:sz w:val="22"/>
                <w:szCs w:val="22"/>
                <w:lang w:val="en-US" w:eastAsia="en-US"/>
              </w:rPr>
              <w:t xml:space="preserve"> SSC (Surviving Sepsis </w:t>
            </w:r>
            <w:proofErr w:type="spellStart"/>
            <w:r>
              <w:rPr>
                <w:rFonts w:ascii="Arial" w:hAnsi="Arial" w:cs="Arial"/>
                <w:sz w:val="22"/>
                <w:szCs w:val="22"/>
                <w:lang w:val="en-US" w:eastAsia="en-US"/>
              </w:rPr>
              <w:t>Compaign</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oraz</w:t>
            </w:r>
            <w:proofErr w:type="spellEnd"/>
            <w:r>
              <w:rPr>
                <w:rFonts w:ascii="Arial" w:hAnsi="Arial" w:cs="Arial"/>
                <w:sz w:val="22"/>
                <w:szCs w:val="22"/>
                <w:lang w:val="en-US" w:eastAsia="en-US"/>
              </w:rPr>
              <w:t xml:space="preserve"> Sepsis-3 (</w:t>
            </w:r>
            <w:r>
              <w:rPr>
                <w:rFonts w:ascii="Arial" w:eastAsia="MyriadPro-Regular;Calibri" w:hAnsi="Arial" w:cs="Arial"/>
                <w:sz w:val="22"/>
                <w:szCs w:val="22"/>
                <w:lang w:val="en-US" w:eastAsia="en-US"/>
              </w:rPr>
              <w:t>Third International Consensus Definitions for Sepsis and Septic Shock)</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val="en-US"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val="en-US"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val="en-US"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rsidP="009B3234">
            <w:pPr>
              <w:numPr>
                <w:ilvl w:val="0"/>
                <w:numId w:val="1"/>
              </w:numPr>
              <w:suppressAutoHyphens/>
              <w:autoSpaceDE w:val="0"/>
              <w:spacing w:line="276" w:lineRule="auto"/>
              <w:ind w:left="81" w:firstLine="0"/>
              <w:jc w:val="both"/>
              <w:rPr>
                <w:rFonts w:ascii="Arial" w:hAnsi="Arial" w:cs="Arial"/>
                <w:sz w:val="22"/>
                <w:szCs w:val="22"/>
                <w:lang w:eastAsia="en-US"/>
              </w:rPr>
            </w:pPr>
            <w:r>
              <w:rPr>
                <w:rFonts w:ascii="Arial" w:hAnsi="Arial" w:cs="Arial"/>
                <w:sz w:val="22"/>
                <w:szCs w:val="22"/>
                <w:lang w:eastAsia="en-US"/>
              </w:rPr>
              <w:t>związanych z analizą pracy stymulatora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rsidP="009B3234">
            <w:pPr>
              <w:numPr>
                <w:ilvl w:val="0"/>
                <w:numId w:val="1"/>
              </w:numPr>
              <w:suppressAutoHyphens/>
              <w:autoSpaceDE w:val="0"/>
              <w:spacing w:line="276" w:lineRule="auto"/>
              <w:ind w:left="81" w:firstLine="0"/>
              <w:jc w:val="both"/>
              <w:rPr>
                <w:rFonts w:ascii="Arial" w:hAnsi="Arial" w:cs="Arial"/>
                <w:sz w:val="22"/>
                <w:szCs w:val="22"/>
                <w:lang w:eastAsia="en-US"/>
              </w:rPr>
            </w:pPr>
            <w:r>
              <w:rPr>
                <w:rFonts w:ascii="Arial" w:hAnsi="Arial" w:cs="Arial"/>
                <w:sz w:val="22"/>
                <w:szCs w:val="22"/>
                <w:lang w:eastAsia="en-US"/>
              </w:rPr>
              <w:t>związanych z 24 godzinną analizą EKG</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rsidP="009B3234">
            <w:pPr>
              <w:numPr>
                <w:ilvl w:val="0"/>
                <w:numId w:val="1"/>
              </w:numPr>
              <w:suppressAutoHyphens/>
              <w:autoSpaceDE w:val="0"/>
              <w:spacing w:line="276" w:lineRule="auto"/>
              <w:ind w:left="81" w:firstLine="0"/>
              <w:jc w:val="both"/>
              <w:rPr>
                <w:rFonts w:ascii="Arial" w:hAnsi="Arial" w:cs="Arial"/>
                <w:sz w:val="22"/>
                <w:szCs w:val="22"/>
                <w:lang w:eastAsia="en-US"/>
              </w:rPr>
            </w:pPr>
            <w:r>
              <w:rPr>
                <w:rFonts w:ascii="Arial" w:hAnsi="Arial" w:cs="Arial"/>
                <w:sz w:val="22"/>
                <w:szCs w:val="22"/>
                <w:lang w:eastAsia="en-US"/>
              </w:rPr>
              <w:t>protokół wczesnej oceny skali ostrzegania (EWS)</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877"/>
        </w:trPr>
        <w:tc>
          <w:tcPr>
            <w:tcW w:w="1134"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p>
        </w:tc>
        <w:tc>
          <w:tcPr>
            <w:tcW w:w="7937"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rsidP="009B3234">
            <w:pPr>
              <w:numPr>
                <w:ilvl w:val="0"/>
                <w:numId w:val="1"/>
              </w:numPr>
              <w:suppressAutoHyphens/>
              <w:autoSpaceDE w:val="0"/>
              <w:spacing w:line="276" w:lineRule="auto"/>
              <w:ind w:left="81" w:firstLine="0"/>
              <w:jc w:val="both"/>
              <w:rPr>
                <w:rFonts w:ascii="Arial" w:hAnsi="Arial" w:cs="Arial"/>
                <w:sz w:val="22"/>
                <w:szCs w:val="22"/>
                <w:lang w:eastAsia="en-US"/>
              </w:rPr>
            </w:pPr>
            <w:r>
              <w:rPr>
                <w:rFonts w:ascii="Arial" w:hAnsi="Arial" w:cs="Arial"/>
                <w:sz w:val="22"/>
                <w:szCs w:val="22"/>
                <w:lang w:eastAsia="en-US"/>
              </w:rPr>
              <w:t>dedykowaną aplikację uruchamianą na ekranie monitora pacjenta pomagającą utrzymać optymalna anestezję w okresie okołooperacyjnym (podczas indukcji anestezjologicznej, znieczulenia i wybudzenia)</w:t>
            </w:r>
          </w:p>
        </w:tc>
        <w:tc>
          <w:tcPr>
            <w:tcW w:w="1985"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4" w:space="0" w:color="auto"/>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585"/>
        </w:trPr>
        <w:tc>
          <w:tcPr>
            <w:tcW w:w="1134" w:type="dxa"/>
            <w:tcBorders>
              <w:top w:val="single" w:sz="4" w:space="0" w:color="auto"/>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r>
              <w:rPr>
                <w:rFonts w:ascii="Arial" w:hAnsi="Arial" w:cs="Arial"/>
                <w:sz w:val="22"/>
                <w:szCs w:val="22"/>
                <w:lang w:eastAsia="en-US"/>
              </w:rPr>
              <w:t>7.</w:t>
            </w:r>
          </w:p>
        </w:tc>
        <w:tc>
          <w:tcPr>
            <w:tcW w:w="7937" w:type="dxa"/>
            <w:tcBorders>
              <w:top w:val="single" w:sz="4" w:space="0" w:color="auto"/>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pStyle w:val="Standard"/>
              <w:autoSpaceDE w:val="0"/>
              <w:snapToGrid w:val="0"/>
              <w:spacing w:line="276" w:lineRule="auto"/>
              <w:ind w:left="81"/>
              <w:jc w:val="both"/>
              <w:rPr>
                <w:rFonts w:ascii="Arial" w:hAnsi="Arial" w:cs="Arial"/>
                <w:sz w:val="22"/>
                <w:szCs w:val="22"/>
                <w:lang w:eastAsia="en-US"/>
              </w:rPr>
            </w:pPr>
            <w:r>
              <w:rPr>
                <w:rFonts w:ascii="Arial" w:hAnsi="Arial" w:cs="Arial"/>
                <w:sz w:val="22"/>
                <w:szCs w:val="22"/>
                <w:lang w:eastAsia="en-US"/>
              </w:rPr>
              <w:t xml:space="preserve">Kompatybilność z posiadaną w szpitalu centralą serwerową </w:t>
            </w:r>
            <w:proofErr w:type="spellStart"/>
            <w:r>
              <w:rPr>
                <w:rFonts w:ascii="Arial" w:hAnsi="Arial" w:cs="Arial"/>
                <w:sz w:val="22"/>
                <w:szCs w:val="22"/>
                <w:lang w:eastAsia="en-US"/>
              </w:rPr>
              <w:t>BeneVision</w:t>
            </w:r>
            <w:proofErr w:type="spellEnd"/>
            <w:r>
              <w:rPr>
                <w:rFonts w:ascii="Arial" w:hAnsi="Arial" w:cs="Arial"/>
                <w:sz w:val="22"/>
                <w:szCs w:val="22"/>
                <w:lang w:eastAsia="en-US"/>
              </w:rPr>
              <w:t xml:space="preserve"> firmy </w:t>
            </w:r>
            <w:proofErr w:type="spellStart"/>
            <w:r>
              <w:rPr>
                <w:rFonts w:ascii="Arial" w:hAnsi="Arial" w:cs="Arial"/>
                <w:sz w:val="22"/>
                <w:szCs w:val="22"/>
                <w:lang w:eastAsia="en-US"/>
              </w:rPr>
              <w:t>Mindray</w:t>
            </w:r>
            <w:proofErr w:type="spellEnd"/>
          </w:p>
        </w:tc>
        <w:tc>
          <w:tcPr>
            <w:tcW w:w="1985" w:type="dxa"/>
            <w:tcBorders>
              <w:top w:val="single" w:sz="4" w:space="0" w:color="auto"/>
              <w:left w:val="single" w:sz="6" w:space="0" w:color="7F7F7F"/>
              <w:bottom w:val="single" w:sz="4" w:space="0" w:color="auto"/>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4" w:space="0" w:color="auto"/>
              <w:left w:val="single" w:sz="6" w:space="0" w:color="7F7F7F"/>
              <w:bottom w:val="single" w:sz="4" w:space="0" w:color="auto"/>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735"/>
        </w:trPr>
        <w:tc>
          <w:tcPr>
            <w:tcW w:w="1134"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widowControl w:val="0"/>
              <w:shd w:val="clear" w:color="auto" w:fill="FFFFFF"/>
              <w:tabs>
                <w:tab w:val="left" w:pos="506"/>
              </w:tabs>
              <w:autoSpaceDE w:val="0"/>
              <w:snapToGrid w:val="0"/>
              <w:spacing w:line="276" w:lineRule="auto"/>
              <w:ind w:left="192"/>
              <w:jc w:val="center"/>
              <w:rPr>
                <w:rFonts w:ascii="Arial" w:hAnsi="Arial" w:cs="Arial"/>
                <w:sz w:val="22"/>
                <w:szCs w:val="22"/>
                <w:lang w:eastAsia="en-US"/>
              </w:rPr>
            </w:pPr>
            <w:r>
              <w:rPr>
                <w:rFonts w:ascii="Arial" w:hAnsi="Arial" w:cs="Arial"/>
                <w:sz w:val="22"/>
                <w:szCs w:val="22"/>
                <w:lang w:eastAsia="en-US"/>
              </w:rPr>
              <w:t>8.</w:t>
            </w:r>
          </w:p>
        </w:tc>
        <w:tc>
          <w:tcPr>
            <w:tcW w:w="7937"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81"/>
              <w:jc w:val="both"/>
              <w:rPr>
                <w:rFonts w:ascii="Arial" w:hAnsi="Arial" w:cs="Arial"/>
                <w:sz w:val="22"/>
                <w:szCs w:val="22"/>
                <w:lang w:eastAsia="en-US"/>
              </w:rPr>
            </w:pPr>
            <w:r>
              <w:rPr>
                <w:rFonts w:ascii="Arial" w:hAnsi="Arial" w:cs="Arial"/>
                <w:sz w:val="22"/>
                <w:szCs w:val="22"/>
                <w:lang w:eastAsia="en-US"/>
              </w:rPr>
              <w:t xml:space="preserve"> Moduł interfejsowy do wyświetlania parametrów z posiadanej platformy hemodynamicznej Edwards </w:t>
            </w:r>
            <w:proofErr w:type="spellStart"/>
            <w:r>
              <w:rPr>
                <w:rFonts w:ascii="Arial" w:hAnsi="Arial" w:cs="Arial"/>
                <w:sz w:val="22"/>
                <w:szCs w:val="22"/>
                <w:lang w:eastAsia="en-US"/>
              </w:rPr>
              <w:t>Hemisphere</w:t>
            </w:r>
            <w:proofErr w:type="spellEnd"/>
          </w:p>
        </w:tc>
        <w:tc>
          <w:tcPr>
            <w:tcW w:w="1985"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791"/>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4" w:space="0" w:color="auto"/>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r w:rsidR="000D2ED9" w:rsidTr="000D2ED9">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pStyle w:val="Style10"/>
              <w:tabs>
                <w:tab w:val="left" w:pos="506"/>
              </w:tabs>
              <w:spacing w:line="240" w:lineRule="auto"/>
              <w:ind w:left="365"/>
              <w:rPr>
                <w:rFonts w:ascii="Arial" w:hAnsi="Arial" w:cs="Arial"/>
                <w:bCs/>
                <w:sz w:val="22"/>
                <w:szCs w:val="22"/>
                <w:lang w:eastAsia="en-US"/>
              </w:rPr>
            </w:pPr>
            <w:r>
              <w:rPr>
                <w:rFonts w:ascii="Arial" w:hAnsi="Arial" w:cs="Arial"/>
                <w:bCs/>
                <w:sz w:val="22"/>
                <w:szCs w:val="22"/>
                <w:lang w:eastAsia="en-US"/>
              </w:rPr>
              <w:t>MONTAŻ</w:t>
            </w:r>
          </w:p>
        </w:tc>
      </w:tr>
      <w:tr w:rsidR="000D2ED9" w:rsidTr="000D2ED9">
        <w:trPr>
          <w:cantSplit/>
          <w:trHeight w:val="112"/>
        </w:trPr>
        <w:tc>
          <w:tcPr>
            <w:tcW w:w="1134"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widowControl w:val="0"/>
              <w:shd w:val="clear" w:color="auto" w:fill="FFFFFF"/>
              <w:tabs>
                <w:tab w:val="left" w:pos="506"/>
              </w:tabs>
              <w:autoSpaceDE w:val="0"/>
              <w:spacing w:line="276" w:lineRule="auto"/>
              <w:ind w:left="192"/>
              <w:jc w:val="center"/>
              <w:rPr>
                <w:rFonts w:ascii="Arial" w:hAnsi="Arial" w:cs="Arial"/>
                <w:sz w:val="22"/>
                <w:szCs w:val="22"/>
                <w:lang w:eastAsia="en-US"/>
              </w:rPr>
            </w:pPr>
            <w:r>
              <w:rPr>
                <w:rFonts w:ascii="Arial" w:hAnsi="Arial" w:cs="Arial"/>
                <w:sz w:val="22"/>
                <w:szCs w:val="22"/>
                <w:lang w:eastAsia="en-US"/>
              </w:rPr>
              <w:t>1.</w:t>
            </w:r>
          </w:p>
        </w:tc>
        <w:tc>
          <w:tcPr>
            <w:tcW w:w="7937"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autoSpaceDE w:val="0"/>
              <w:spacing w:line="276" w:lineRule="auto"/>
              <w:ind w:left="365"/>
              <w:jc w:val="both"/>
              <w:rPr>
                <w:rFonts w:ascii="Arial" w:hAnsi="Arial" w:cs="Arial"/>
                <w:sz w:val="22"/>
                <w:szCs w:val="22"/>
                <w:lang w:eastAsia="en-US"/>
              </w:rPr>
            </w:pPr>
            <w:r>
              <w:rPr>
                <w:rFonts w:ascii="Arial" w:hAnsi="Arial" w:cs="Arial"/>
                <w:sz w:val="22"/>
                <w:szCs w:val="22"/>
                <w:lang w:eastAsia="en-US"/>
              </w:rPr>
              <w:t>Ramię do aparatu do znieczulenia</w:t>
            </w:r>
          </w:p>
        </w:tc>
        <w:tc>
          <w:tcPr>
            <w:tcW w:w="1985"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hideMark/>
          </w:tcPr>
          <w:p w:rsidR="000D2ED9" w:rsidRDefault="000D2ED9">
            <w:pPr>
              <w:snapToGrid w:val="0"/>
              <w:spacing w:line="276" w:lineRule="auto"/>
              <w:ind w:left="649"/>
              <w:rPr>
                <w:rFonts w:ascii="Arial" w:hAnsi="Arial" w:cs="Arial"/>
                <w:sz w:val="22"/>
                <w:szCs w:val="22"/>
                <w:lang w:eastAsia="en-US"/>
              </w:rPr>
            </w:pPr>
            <w:r>
              <w:rPr>
                <w:rFonts w:ascii="Arial" w:hAnsi="Arial" w:cs="Arial"/>
                <w:color w:val="000000"/>
                <w:sz w:val="22"/>
                <w:szCs w:val="22"/>
                <w:lang w:eastAsia="en-US"/>
              </w:rPr>
              <w:t>TAK</w:t>
            </w:r>
          </w:p>
        </w:tc>
        <w:tc>
          <w:tcPr>
            <w:tcW w:w="2693" w:type="dxa"/>
            <w:tcBorders>
              <w:top w:val="single" w:sz="6" w:space="0" w:color="7F7F7F"/>
              <w:left w:val="single" w:sz="6" w:space="0" w:color="7F7F7F"/>
              <w:bottom w:val="single" w:sz="6" w:space="0" w:color="7F7F7F"/>
              <w:right w:val="single" w:sz="6" w:space="0" w:color="7F7F7F"/>
            </w:tcBorders>
            <w:tcMar>
              <w:top w:w="0" w:type="dxa"/>
              <w:left w:w="61" w:type="dxa"/>
              <w:bottom w:w="0" w:type="dxa"/>
              <w:right w:w="61" w:type="dxa"/>
            </w:tcMar>
          </w:tcPr>
          <w:p w:rsidR="000D2ED9" w:rsidRDefault="000D2ED9">
            <w:pPr>
              <w:pStyle w:val="Style10"/>
              <w:snapToGrid w:val="0"/>
              <w:jc w:val="left"/>
              <w:rPr>
                <w:rFonts w:ascii="Arial" w:hAnsi="Arial" w:cs="Arial"/>
                <w:sz w:val="22"/>
                <w:szCs w:val="22"/>
                <w:lang w:eastAsia="en-US"/>
              </w:rPr>
            </w:pPr>
          </w:p>
        </w:tc>
      </w:tr>
    </w:tbl>
    <w:p w:rsidR="000D2ED9" w:rsidRDefault="000D2ED9" w:rsidP="000D2ED9">
      <w:pPr>
        <w:rPr>
          <w:rFonts w:asciiTheme="minorHAnsi" w:hAnsiTheme="minorHAnsi" w:cstheme="minorHAnsi"/>
          <w:i/>
          <w:u w:val="single"/>
        </w:rPr>
      </w:pPr>
    </w:p>
    <w:p w:rsidR="00975D6D" w:rsidRDefault="00975D6D"/>
    <w:sectPr w:rsidR="00975D6D" w:rsidSect="000D2E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Regular;Calib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737EE"/>
    <w:multiLevelType w:val="multilevel"/>
    <w:tmpl w:val="B1963F00"/>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B4"/>
    <w:rsid w:val="000D2ED9"/>
    <w:rsid w:val="005515B4"/>
    <w:rsid w:val="00975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5D9CE-CF81-4052-8094-C635D20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2ED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0D2ED9"/>
    <w:pPr>
      <w:widowControl w:val="0"/>
      <w:suppressAutoHyphens/>
      <w:autoSpaceDN w:val="0"/>
      <w:spacing w:after="0" w:line="240" w:lineRule="auto"/>
    </w:pPr>
    <w:rPr>
      <w:rFonts w:ascii="Times New Roman" w:eastAsiaTheme="minorEastAsia" w:hAnsi="Times New Roman" w:cs="Tahoma"/>
      <w:kern w:val="3"/>
      <w:sz w:val="24"/>
      <w:szCs w:val="24"/>
      <w:lang w:eastAsia="pl-PL"/>
    </w:rPr>
  </w:style>
  <w:style w:type="paragraph" w:customStyle="1" w:styleId="Style10">
    <w:name w:val="Style10"/>
    <w:basedOn w:val="Normalny"/>
    <w:qFormat/>
    <w:rsid w:val="000D2ED9"/>
    <w:pPr>
      <w:widowControl w:val="0"/>
      <w:autoSpaceDE w:val="0"/>
      <w:autoSpaceDN w:val="0"/>
      <w:adjustRightInd w:val="0"/>
      <w:spacing w:line="324" w:lineRule="exact"/>
      <w:ind w:hanging="298"/>
      <w:jc w:val="both"/>
    </w:pPr>
    <w:rPr>
      <w:rFonts w:ascii="Bookman Old Style" w:hAnsi="Bookman Old Style"/>
    </w:rPr>
  </w:style>
  <w:style w:type="table" w:styleId="Tabela-Siatka">
    <w:name w:val="Table Grid"/>
    <w:basedOn w:val="Standardowy"/>
    <w:uiPriority w:val="39"/>
    <w:rsid w:val="000D2ED9"/>
    <w:pPr>
      <w:spacing w:after="0" w:line="240" w:lineRule="auto"/>
    </w:pPr>
    <w:rPr>
      <w:rFonts w:ascii="Times New Roman" w:eastAsiaTheme="minorEastAsia" w:hAnsi="Times New Roman" w:cs="Times New Roman"/>
      <w:sz w:val="20"/>
      <w:szCs w:val="20"/>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D2E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ED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2051</Words>
  <Characters>12307</Characters>
  <Application>Microsoft Office Word</Application>
  <DocSecurity>0</DocSecurity>
  <Lines>102</Lines>
  <Paragraphs>28</Paragraphs>
  <ScaleCrop>false</ScaleCrop>
  <Company>WCO</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krzywiak.s</dc:creator>
  <cp:keywords/>
  <dc:description/>
  <cp:lastModifiedBy>krzywiak.s</cp:lastModifiedBy>
  <cp:revision>2</cp:revision>
  <cp:lastPrinted>2024-08-30T11:33:00Z</cp:lastPrinted>
  <dcterms:created xsi:type="dcterms:W3CDTF">2024-08-30T11:32:00Z</dcterms:created>
  <dcterms:modified xsi:type="dcterms:W3CDTF">2024-08-30T11:37:00Z</dcterms:modified>
</cp:coreProperties>
</file>