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center"/>
        <w:rPr>
          <w:sz w:val="40"/>
          <w:szCs w:val="40"/>
        </w:rPr>
      </w:pPr>
      <w:r>
        <w:rPr>
          <w:sz w:val="40"/>
          <w:szCs w:val="40"/>
        </w:rPr>
      </w:r>
    </w:p>
    <w:p>
      <w:pPr>
        <w:pStyle w:val="Normal"/>
        <w:spacing w:lineRule="auto" w:line="276"/>
        <w:jc w:val="center"/>
        <w:rPr/>
      </w:pPr>
      <w:r>
        <w:rPr>
          <w:b/>
          <w:bCs/>
          <w:sz w:val="32"/>
          <w:szCs w:val="32"/>
        </w:rPr>
        <w:t>OPIS PRZEDMIOTU ZAMÓWIENIA</w:t>
      </w:r>
    </w:p>
    <w:p>
      <w:pPr>
        <w:pStyle w:val="Normal"/>
        <w:spacing w:lineRule="auto" w:line="276"/>
        <w:jc w:val="center"/>
        <w:rPr>
          <w:rFonts w:ascii="Calibri" w:hAnsi="Calibri"/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auto" w:line="276"/>
        <w:jc w:val="center"/>
        <w:rPr/>
      </w:pPr>
      <w:r>
        <w:rPr>
          <w:b/>
          <w:bCs/>
          <w:color w:val="3465A4"/>
          <w:sz w:val="24"/>
          <w:szCs w:val="24"/>
        </w:rPr>
        <w:t>I INFORMACJE WSTĘPNE OGÓLNE</w:t>
      </w:r>
    </w:p>
    <w:p>
      <w:pPr>
        <w:pStyle w:val="Normal"/>
        <w:spacing w:lineRule="auto" w:line="276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spacing w:lineRule="auto" w:line="276"/>
        <w:jc w:val="both"/>
        <w:rPr/>
      </w:pPr>
      <w:r>
        <w:rPr>
          <w:b/>
          <w:bCs/>
          <w:i/>
          <w:iCs/>
        </w:rPr>
        <w:t xml:space="preserve">1.  NAZWA PRZEDMIOTU ZAMÓWIENIA </w:t>
      </w:r>
    </w:p>
    <w:p>
      <w:pPr>
        <w:pStyle w:val="Normal"/>
        <w:spacing w:lineRule="auto" w:line="276"/>
        <w:jc w:val="center"/>
        <w:rPr/>
      </w:pPr>
      <w:r>
        <w:rPr>
          <w:rFonts w:cs="Calibri"/>
          <w:b/>
          <w:bCs/>
        </w:rPr>
        <w:t>Pełnienie Nadzoru Inwestorskiego nad robotami budowlanymi dla zadania pod nazwą:</w:t>
      </w:r>
    </w:p>
    <w:p>
      <w:pPr>
        <w:pStyle w:val="Normal"/>
        <w:spacing w:lineRule="auto" w:line="276"/>
        <w:jc w:val="center"/>
        <w:rPr/>
      </w:pPr>
      <w:r>
        <w:rPr>
          <w:rFonts w:cs="Calibri"/>
          <w:b/>
          <w:bCs/>
        </w:rPr>
        <w:t xml:space="preserve"> „</w:t>
      </w:r>
      <w:bookmarkStart w:id="0" w:name="_Hlk162352373"/>
      <w:bookmarkStart w:id="1" w:name="_Hlk167776288"/>
      <w:r>
        <w:rPr>
          <w:b/>
          <w:bCs/>
        </w:rPr>
        <w:t>Modernizacja Oddziału Wewnętrznego Nr IX na 2 piętrze w budynku A,                                znajdującego się w Wojewódzkim Szpitalu Specjalistycznym im. J. Gromkowskiego we Wrocławiu</w:t>
      </w:r>
      <w:bookmarkEnd w:id="1"/>
      <w:r>
        <w:rPr>
          <w:b/>
          <w:bCs/>
        </w:rPr>
        <w:t xml:space="preserve">”.   </w:t>
      </w:r>
    </w:p>
    <w:p>
      <w:pPr>
        <w:pStyle w:val="Normal"/>
        <w:spacing w:lineRule="auto" w:line="276"/>
        <w:jc w:val="center"/>
        <w:rPr>
          <w:b/>
          <w:bCs/>
        </w:rPr>
      </w:pPr>
      <w:r>
        <w:rPr>
          <w:b/>
          <w:bCs/>
        </w:rPr>
      </w:r>
      <w:bookmarkEnd w:id="0"/>
    </w:p>
    <w:p>
      <w:pPr>
        <w:pStyle w:val="Normal"/>
        <w:spacing w:lineRule="auto" w:line="276"/>
        <w:jc w:val="both"/>
        <w:rPr/>
      </w:pPr>
      <w:r>
        <w:rPr>
          <w:b/>
          <w:bCs/>
          <w:i/>
          <w:iCs/>
        </w:rPr>
        <w:t>2. ADRES OBIEKTU BUDOWLANEGO</w:t>
      </w:r>
    </w:p>
    <w:p>
      <w:pPr>
        <w:pStyle w:val="Normal"/>
        <w:spacing w:lineRule="auto" w:line="276"/>
        <w:jc w:val="both"/>
        <w:rPr/>
      </w:pPr>
      <w:r>
        <w:rPr/>
        <w:t>Przedmiotowa inwestycja usytuowana jest we Wrocławiu przy ulicy Koszarowej 5.                                  Budynek zlokalizowany jest na działce o numerze wg wpisu z ewidencji: dz. nr 6/50, AM-16;                     obręb Karłowice.</w:t>
      </w:r>
    </w:p>
    <w:p>
      <w:pPr>
        <w:pStyle w:val="Normal"/>
        <w:spacing w:lineRule="auto" w:line="276"/>
        <w:jc w:val="both"/>
        <w:rPr/>
      </w:pPr>
      <w:r>
        <w:rPr>
          <w:i/>
          <w:iCs/>
        </w:rPr>
        <w:t>Mapa orientacyjna:</w:t>
      </w:r>
    </w:p>
    <w:p>
      <w:pPr>
        <w:pStyle w:val="Normal"/>
        <w:spacing w:lineRule="auto" w:line="276"/>
        <w:jc w:val="both"/>
        <w:rPr>
          <w:rFonts w:ascii="Calibri" w:hAnsi="Calibri"/>
        </w:rPr>
      </w:pPr>
      <w:r>
        <w:rPr/>
      </w:r>
    </w:p>
    <w:p>
      <w:pPr>
        <w:pStyle w:val="Normal"/>
        <w:spacing w:lineRule="auto" w:line="276"/>
        <w:jc w:val="both"/>
        <w:rPr/>
      </w:pPr>
      <w:r>
        <w:rPr/>
        <w:drawing>
          <wp:inline distT="0" distB="0" distL="0" distR="0">
            <wp:extent cx="5420360" cy="3543935"/>
            <wp:effectExtent l="0" t="0" r="0" b="0"/>
            <wp:docPr id="1" name="Obraz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0360" cy="3543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76"/>
        <w:jc w:val="both"/>
        <w:rPr>
          <w:rFonts w:ascii="Calibri" w:hAnsi="Calibri"/>
        </w:rPr>
      </w:pPr>
      <w:r>
        <w:rPr/>
      </w:r>
    </w:p>
    <w:p>
      <w:pPr>
        <w:pStyle w:val="Normal"/>
        <w:spacing w:lineRule="auto" w:line="276"/>
        <w:jc w:val="both"/>
        <w:rPr>
          <w:rFonts w:ascii="Calibri" w:hAnsi="Calibri"/>
        </w:rPr>
      </w:pPr>
      <w:r>
        <w:rPr/>
      </w:r>
    </w:p>
    <w:p>
      <w:pPr>
        <w:pStyle w:val="Normal"/>
        <w:spacing w:lineRule="auto" w:line="276"/>
        <w:jc w:val="both"/>
        <w:rPr/>
      </w:pPr>
      <w:r>
        <w:rPr>
          <w:i/>
          <w:iCs/>
        </w:rPr>
        <w:t>Obszar inwestycji</w:t>
      </w:r>
    </w:p>
    <w:p>
      <w:pPr>
        <w:pStyle w:val="Normal"/>
        <w:spacing w:lineRule="auto" w:line="276"/>
        <w:jc w:val="both"/>
        <w:rPr/>
      </w:pPr>
      <w:r>
        <w:rPr/>
        <mc:AlternateContent>
          <mc:Choice Requires="wps">
            <w:drawing>
              <wp:anchor behindDoc="0" distT="6350" distB="6350" distL="6350" distR="6350" simplePos="0" locked="0" layoutInCell="1" allowOverlap="1" relativeHeight="4" wp14:anchorId="29CC52D6">
                <wp:simplePos x="0" y="0"/>
                <wp:positionH relativeFrom="column">
                  <wp:posOffset>3816985</wp:posOffset>
                </wp:positionH>
                <wp:positionV relativeFrom="paragraph">
                  <wp:posOffset>1503680</wp:posOffset>
                </wp:positionV>
                <wp:extent cx="373380" cy="982980"/>
                <wp:effectExtent l="6350" t="6350" r="6350" b="6350"/>
                <wp:wrapNone/>
                <wp:docPr id="2" name="Prostokąt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20" cy="983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1d315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Prostokąt 3" path="m0,0l-2147483645,0l-2147483645,-2147483646l0,-2147483646xe" stroked="t" o:allowincell="f" style="position:absolute;margin-left:300.55pt;margin-top:118.4pt;width:29.35pt;height:77.35pt;mso-wrap-style:none;v-text-anchor:middle" wp14:anchorId="29CC52D6">
                <v:fill o:detectmouseclick="t" on="false"/>
                <v:stroke color="#1d3155" weight="12600" joinstyle="miter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3175" distB="3175" distL="3175" distR="3175" simplePos="0" locked="0" layoutInCell="1" allowOverlap="1" relativeHeight="5" wp14:anchorId="78959D1D">
                <wp:simplePos x="0" y="0"/>
                <wp:positionH relativeFrom="column">
                  <wp:posOffset>4190365</wp:posOffset>
                </wp:positionH>
                <wp:positionV relativeFrom="paragraph">
                  <wp:posOffset>1466850</wp:posOffset>
                </wp:positionV>
                <wp:extent cx="1569720" cy="474980"/>
                <wp:effectExtent l="3175" t="3175" r="3175" b="3175"/>
                <wp:wrapNone/>
                <wp:docPr id="3" name="Pole tekstow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600" cy="47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Zawartoramkius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Zakres inwestycji, odział wewnętrzny IX</w:t>
                            </w:r>
                          </w:p>
                          <w:p>
                            <w:pPr>
                              <w:pStyle w:val="Zawartoramkius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Zawartoramkius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>i kaplica</w:t>
                            </w:r>
                          </w:p>
                          <w:p>
                            <w:pPr>
                              <w:pStyle w:val="Zawartoramkiuser"/>
                              <w:spacing w:before="0" w:after="16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Pole tekstowe 4" path="m0,0l-2147483645,0l-2147483645,-2147483646l0,-2147483646xe" fillcolor="white" stroked="t" o:allowincell="f" style="position:absolute;margin-left:329.95pt;margin-top:115.5pt;width:123.55pt;height:37.35pt;mso-wrap-style:square;v-text-anchor:top" wp14:anchorId="78959D1D"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Zawartoramkius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Zakres inwestycji, odział wewnętrzny IX</w:t>
                      </w:r>
                    </w:p>
                    <w:p>
                      <w:pPr>
                        <w:pStyle w:val="Zawartoramkius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Zawartoramkius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  <w:r>
                        <w:rPr>
                          <w:color w:val="000000"/>
                        </w:rPr>
                        <w:t>i kaplica</w:t>
                      </w:r>
                    </w:p>
                    <w:p>
                      <w:pPr>
                        <w:pStyle w:val="Zawartoramkiuser"/>
                        <w:spacing w:before="0" w:after="160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inline distT="0" distB="0" distL="0" distR="0">
            <wp:extent cx="5760720" cy="2847340"/>
            <wp:effectExtent l="0" t="0" r="0" b="0"/>
            <wp:docPr id="4" name="Obraz3" descr="Obraz zawierający tekst, diagram, Plan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3" descr="Obraz zawierający tekst, diagram, Plan, zrzut ekran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47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76"/>
        <w:jc w:val="both"/>
        <w:rPr/>
      </w:pPr>
      <w:r>
        <w:rPr>
          <w:rFonts w:cs="Arial Narrow"/>
          <w:b/>
          <w:bCs/>
          <w:i/>
          <w:iCs/>
        </w:rPr>
        <w:t xml:space="preserve">3. </w:t>
      </w:r>
      <w:r>
        <w:rPr>
          <w:rStyle w:val="Domylnaczcionkaakapitu1"/>
          <w:rFonts w:cs="Arial Narrow"/>
          <w:b/>
          <w:bCs/>
          <w:i/>
          <w:iCs/>
          <w:color w:val="000000"/>
        </w:rPr>
        <w:t>T</w:t>
      </w:r>
      <w:bookmarkStart w:id="2" w:name="_Toc173927057"/>
      <w:r>
        <w:rPr>
          <w:rStyle w:val="Domylnaczcionkaakapitu1"/>
          <w:rFonts w:cs="Arial Narrow"/>
          <w:b/>
          <w:bCs/>
          <w:i/>
          <w:iCs/>
          <w:color w:val="000000"/>
        </w:rPr>
        <w:t>ryb udzielenia zamówienia</w:t>
      </w:r>
      <w:bookmarkEnd w:id="2"/>
    </w:p>
    <w:p>
      <w:pPr>
        <w:pStyle w:val="Normal"/>
        <w:widowControl/>
        <w:suppressAutoHyphens w:val="true"/>
        <w:bidi w:val="0"/>
        <w:spacing w:lineRule="auto" w:line="276" w:before="0" w:after="160"/>
        <w:ind w:hanging="0" w:left="510" w:right="0"/>
        <w:jc w:val="both"/>
        <w:rPr/>
      </w:pPr>
      <w:r>
        <w:rPr>
          <w:rStyle w:val="Domylnaczcionkaakapitu1"/>
          <w:rFonts w:cs="Calibri"/>
          <w:color w:val="000000"/>
          <w:lang w:eastAsia="pl-PL"/>
        </w:rPr>
        <w:t xml:space="preserve"> </w:t>
      </w:r>
      <w:r>
        <w:rPr>
          <w:rStyle w:val="Domylnaczcionkaakapitu1"/>
          <w:rFonts w:cs="Calibri"/>
          <w:color w:val="000000"/>
          <w:lang w:eastAsia="pl-PL"/>
        </w:rPr>
        <w:t>Tryb Podstawowy</w:t>
      </w:r>
    </w:p>
    <w:p>
      <w:pPr>
        <w:pStyle w:val="Normal"/>
        <w:spacing w:lineRule="auto" w:line="276"/>
        <w:jc w:val="both"/>
        <w:rPr/>
      </w:pPr>
      <w:r>
        <w:rPr>
          <w:rFonts w:cs="Arial Narrow"/>
          <w:b/>
          <w:bCs/>
          <w:i/>
          <w:iCs/>
          <w:lang w:eastAsia="pl-PL"/>
        </w:rPr>
        <w:t>4. PODSTAWA MERYTORYCZNA OPRACOWANIA</w:t>
      </w:r>
    </w:p>
    <w:p>
      <w:pPr>
        <w:pStyle w:val="Podstawowy"/>
        <w:numPr>
          <w:ilvl w:val="0"/>
          <w:numId w:val="2"/>
        </w:numPr>
        <w:tabs>
          <w:tab w:val="left" w:pos="508" w:leader="none"/>
          <w:tab w:val="left" w:pos="1365" w:leader="none"/>
        </w:tabs>
        <w:spacing w:lineRule="auto" w:line="276"/>
        <w:ind w:hanging="340" w:left="737"/>
        <w:rPr>
          <w:u w:val="none"/>
        </w:rPr>
      </w:pPr>
      <w:r>
        <w:rPr>
          <w:u w:val="none"/>
        </w:rPr>
        <w:t>Umowa na wykonanie usługi pełnienia nadzoru inwestorskiego zawarta z Zamawiającym,</w:t>
      </w:r>
    </w:p>
    <w:p>
      <w:pPr>
        <w:pStyle w:val="Podstawowy"/>
        <w:numPr>
          <w:ilvl w:val="0"/>
          <w:numId w:val="2"/>
        </w:numPr>
        <w:spacing w:lineRule="auto" w:line="276"/>
        <w:ind w:hanging="340" w:left="737"/>
        <w:rPr>
          <w:u w:val="none"/>
        </w:rPr>
      </w:pPr>
      <w:r>
        <w:rPr>
          <w:u w:val="none"/>
        </w:rPr>
        <w:t xml:space="preserve">Dokumentacja Projektowa. </w:t>
      </w:r>
    </w:p>
    <w:p>
      <w:pPr>
        <w:pStyle w:val="Podstawowy"/>
        <w:numPr>
          <w:ilvl w:val="0"/>
          <w:numId w:val="2"/>
        </w:numPr>
        <w:spacing w:lineRule="auto" w:line="276"/>
        <w:ind w:hanging="340" w:left="737"/>
        <w:rPr>
          <w:u w:val="none"/>
        </w:rPr>
      </w:pPr>
      <w:r>
        <w:rPr>
          <w:u w:val="none"/>
        </w:rPr>
        <w:t xml:space="preserve">Wszystkie inne materiały i zgody uzyskane przez Zamawiającego w procesie postępowania jak również uzyskane w trakcie trwania inwestycji jeżeli ich pozyskanie jest niezbędne do zakończenia inwestycji zgodnie z jej celem i przeznaczeniem.  </w:t>
      </w:r>
    </w:p>
    <w:p>
      <w:pPr>
        <w:pStyle w:val="Podstawowy"/>
        <w:numPr>
          <w:ilvl w:val="0"/>
          <w:numId w:val="2"/>
        </w:numPr>
        <w:spacing w:lineRule="auto" w:line="276"/>
        <w:ind w:hanging="340" w:left="737"/>
        <w:rPr>
          <w:u w:val="none"/>
        </w:rPr>
      </w:pPr>
      <w:r>
        <w:rPr>
          <w:u w:val="none"/>
        </w:rPr>
        <w:t xml:space="preserve">Wszystkie wymagane przepisy prawa w tym: 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Ustawa z dnia 7 lipca 1994 r. – Prawo budowlane </w:t>
      </w:r>
      <w:r>
        <w:rPr>
          <w:rStyle w:val="Domylnaczcionkaakapitu1"/>
        </w:rPr>
        <w:t>Dz. U. z dnia 31 marca 2024 r. poz. 725);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Ustawa z dnia  11  września 2019 r. – Prawo zamówień publicznych (t. j. Dz. U. z 2024 r., poz.  1320 </w:t>
      </w:r>
      <w:r>
        <w:rPr>
          <w:rStyle w:val="Domylnaczcionkaakapitu1"/>
        </w:rPr>
        <w:t>z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Rozporządzenie Ministra Zdrowia z dnia 26 marca 2019 r. w sprawie szczegółowych wymagań, jakim powinny odpowiadać pomieszczenia i urządzenia podmiotu wykonującego działalność leczniczą;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Ustawa z dnia 19 lipca 2019 r. – o zapewnianiu dostępności osobom ze szczególnymi potrzebami Dz.U.2024 r., p. 1411 z 25 września 2024 r.; 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>
          <w:rStyle w:val="Domylnaczcionkaakapitu1"/>
        </w:rPr>
        <w:t>Rozporządzenie Ministra Zdrowia z dnia 2 lutego 2011 r. w sprawie wymagań, jakim powinny odpowiadać pod względem fachowym i sanitarnym pomieszczenia i urządzenia zakładu opieki zdrowotnej; (tekst jednolity Dz.U. 2022 poz. 402 z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Rozporządzenie Ministra Pracy i Polityki Społecznej z dnia 26 września 1997 r. w sprawie ogólnych przepisów bezpieczeństwa i higieny pracy (tj. Dz. U. z 2003 r., Nr 169, poz. 1650                   z 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Rozporządzenie Ministra Infrastruktury z dnia 6 lutego 2003 r. – w sprawie bezpieczeństwa                i  higieny pracy podczas wykonywania robót budowlanych (Dz. U. z 2003, Nr 47, poz. 401);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Rozporządzenie Ministra Infrastruktury z dnia 23 czerwca 2003 r. w sprawie informacji dotyczącej bezpieczeństwa i ochrony zdrowia oraz planu bezpieczeństwa i ochrony zdrowia (Dz. U. z 2003, Nr 120, poz. 1126);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Ustawa z dnia 24 sierpnia 1991 r. o ochronie przeciwpożarowej (Dz. U. z 2024 r, poz. 275);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Rozporządzenie Ministra Spraw Wewnętrznych i Administracji z dnia 7 czerwca 2010 r. w sprawie  ochrony przeciwpożarowej budynków, innych obiektów budowlanych i terenów          (Dz.U.2023.822 z dnia 23 grudnia 2024 r.)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Ustawa z dnia 16 kwietnia 2004 r. o wyrobach budowlanych (Dz. U. z 2021 r. poz. 1213,                       </w:t>
      </w:r>
      <w:r>
        <w:rPr>
          <w:rStyle w:val="Domylnaczcionkaakapitu1"/>
        </w:rPr>
        <w:t>z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Rozporządzenie Ministra Infrastruktury z dnia 17 listopada 2016 r. w sprawie sposobu deklarowania właściwości użytkowych wyrobów budowlanych oraz sposobu znakowania ich znakiem budowlanym (Dz. U. z 2023, poz. 873 </w:t>
      </w:r>
      <w:r>
        <w:rPr>
          <w:rStyle w:val="Domylnaczcionkaakapitu1"/>
        </w:rPr>
        <w:t>z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Ustawa z dnia 30 sierpnia 2002 r. o systemach oceny zgodności (Dz. U. z 2023 r. poz. 215);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Ustawa z dnia 12 grudnia 2003 r. o ogólnym bezpieczeństwie produktów (Dz. U. z 2021 r. 222 </w:t>
      </w:r>
      <w:r>
        <w:rPr>
          <w:rStyle w:val="Domylnaczcionkaakapitu1"/>
        </w:rPr>
        <w:t>z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Ustawa z dnia 14 grudnia 2012 r. o odpadach (tekst jednolity Dz. U. 2023 r., poz. 1587                         z</w:t>
      </w:r>
      <w:r>
        <w:rPr>
          <w:rStyle w:val="Domylnaczcionkaakapitu1"/>
        </w:rPr>
        <w:t xml:space="preserve">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Ustawa z dnia 27 kwietnia 2001 r. – Prawo ochrony środowiska (Dz. U. z 2024 r,  poz. 54);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>Rozporządzenie Ministra Infrastruktury i Technologii z dnia 20  grudnia 2021 r. w sprawie szczegółowego zakresu i formy dokumentacji projektowej, specyfikacji technicznych wykonania i odbioru robót budowlanych oraz programu funkcjonalno-użytkowego (tj. Dz. U. z 2021, poz. 2454);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/>
        <w:t xml:space="preserve">Ustawa z dnia 21 grudnia 2000 r. o dozorze technicznym (tekst jednolity Dz. U. z 2024 r, poz. 1194 </w:t>
      </w:r>
      <w:r>
        <w:rPr>
          <w:rStyle w:val="Domylnaczcionkaakapitu1"/>
        </w:rPr>
        <w:t>z późniejszymi zmianami);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>
          <w:rStyle w:val="Domylnaczcionkaakapitu1"/>
        </w:rPr>
        <w:t>Rozporządzenie Ministra Infrastruktury i Rozwoju z dnia 11 września 2014 r. w sprawie samodzielnych funkcji technicznych w budownictwie (Dz. U. z 2019 r. poz. 831);</w:t>
      </w:r>
    </w:p>
    <w:p>
      <w:pPr>
        <w:pStyle w:val="Normal"/>
        <w:numPr>
          <w:ilvl w:val="0"/>
          <w:numId w:val="8"/>
        </w:numPr>
        <w:spacing w:lineRule="auto" w:line="276"/>
        <w:jc w:val="both"/>
        <w:rPr/>
      </w:pPr>
      <w:r>
        <w:rPr>
          <w:rStyle w:val="Domylnaczcionkaakapitu1"/>
        </w:rPr>
        <w:t>Ustawa z dnia 23 kwietnia 1964r. – Kodeks cywilny (Dz.U. 2024 poz. 161 z późniejszymi zmianami);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283"/>
        <w:rPr/>
      </w:pPr>
      <w:r>
        <w:rPr/>
      </w:r>
    </w:p>
    <w:p>
      <w:pPr>
        <w:pStyle w:val="Podstawowy"/>
        <w:numPr>
          <w:ilvl w:val="0"/>
          <w:numId w:val="0"/>
        </w:numPr>
        <w:spacing w:lineRule="auto" w:line="276"/>
        <w:ind w:hanging="0" w:left="283"/>
        <w:rPr/>
      </w:pPr>
      <w:r>
        <w:rPr/>
      </w:r>
    </w:p>
    <w:p>
      <w:pPr>
        <w:pStyle w:val="Podstawowy"/>
        <w:numPr>
          <w:ilvl w:val="0"/>
          <w:numId w:val="0"/>
        </w:numPr>
        <w:spacing w:lineRule="auto" w:line="276"/>
        <w:ind w:hanging="0" w:left="283"/>
        <w:rPr/>
      </w:pPr>
      <w:r>
        <w:rPr/>
        <w:t xml:space="preserve">Klasyfikacja robót – wspólny słownik zamówień CPV: </w:t>
      </w:r>
    </w:p>
    <w:p>
      <w:pPr>
        <w:pStyle w:val="Normal"/>
        <w:numPr>
          <w:ilvl w:val="0"/>
          <w:numId w:val="9"/>
        </w:numPr>
        <w:spacing w:lineRule="auto" w:line="276"/>
        <w:rPr/>
      </w:pPr>
      <w:r>
        <w:rPr/>
        <w:t xml:space="preserve">71247000-1 Nadzór nad robotami budowlanymi </w:t>
      </w:r>
    </w:p>
    <w:p>
      <w:pPr>
        <w:pStyle w:val="Normal"/>
        <w:numPr>
          <w:ilvl w:val="0"/>
          <w:numId w:val="9"/>
        </w:numPr>
        <w:spacing w:lineRule="auto" w:line="276"/>
        <w:rPr/>
      </w:pPr>
      <w:r>
        <w:rPr/>
        <w:t>71520000-9 Usługi nadzoru budowlanego.</w:t>
      </w:r>
    </w:p>
    <w:p>
      <w:pPr>
        <w:pStyle w:val="BodyText"/>
        <w:ind w:right="-4"/>
        <w:jc w:val="both"/>
        <w:rPr/>
      </w:pPr>
      <w:r>
        <w:rPr>
          <w:rStyle w:val="Domylnaczcionkaakapitu1"/>
          <w:rFonts w:eastAsia="Times New Roman" w:cs="Calibri"/>
          <w:b/>
          <w:bCs/>
          <w:color w:val="000000"/>
          <w:spacing w:val="-1"/>
          <w:lang w:eastAsia="pl-PL"/>
        </w:rPr>
        <w:t>Uwaga:</w:t>
      </w:r>
    </w:p>
    <w:p>
      <w:pPr>
        <w:pStyle w:val="Normal"/>
        <w:numPr>
          <w:ilvl w:val="0"/>
          <w:numId w:val="10"/>
        </w:numPr>
        <w:spacing w:lineRule="auto" w:line="276"/>
        <w:jc w:val="both"/>
        <w:rPr/>
      </w:pPr>
      <w:r>
        <w:rPr>
          <w:rStyle w:val="Domylnaczcionkaakapitu1"/>
          <w:u w:val="none"/>
        </w:rPr>
        <w:t>W przypadku stwierdzenia nieaktualności któregoś z ww. przepisów prawa nie zwalnia to Wykonawcy od stosowania się do obowiązujących przepisów i wytycznych w zakresie norm lub równoważnych;</w:t>
      </w:r>
    </w:p>
    <w:p>
      <w:pPr>
        <w:pStyle w:val="Normal"/>
        <w:numPr>
          <w:ilvl w:val="0"/>
          <w:numId w:val="10"/>
        </w:numPr>
        <w:spacing w:lineRule="auto" w:line="276"/>
        <w:jc w:val="both"/>
        <w:rPr>
          <w:u w:val="none"/>
        </w:rPr>
      </w:pPr>
      <w:r>
        <w:rPr>
          <w:u w:val="none"/>
        </w:rPr>
        <w:t>Niewymienione tytuły jakiejkolwiek dziedziny, grupy, podgrupy nie zwalniają  Wykonawcy od obowiązku stosowania wymogów określonych prawem polskim;</w:t>
      </w:r>
    </w:p>
    <w:p>
      <w:pPr>
        <w:pStyle w:val="Normal"/>
        <w:numPr>
          <w:ilvl w:val="0"/>
          <w:numId w:val="10"/>
        </w:numPr>
        <w:spacing w:lineRule="auto" w:line="276"/>
        <w:jc w:val="both"/>
        <w:rPr/>
      </w:pPr>
      <w:r>
        <w:rPr>
          <w:rStyle w:val="Domylnaczcionkaakapitu1"/>
          <w:rFonts w:eastAsia="Times New Roman" w:cs="Calibri"/>
          <w:color w:val="000000"/>
          <w:spacing w:val="-1"/>
          <w:u w:val="none"/>
          <w:lang w:eastAsia="pl-PL"/>
        </w:rPr>
        <w:t xml:space="preserve">W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powyższym </w:t>
      </w:r>
      <w:r>
        <w:rPr>
          <w:rStyle w:val="Domylnaczcionkaakapitu1"/>
          <w:rFonts w:eastAsia="Times New Roman" w:cs="Calibri"/>
          <w:color w:val="000000"/>
          <w:spacing w:val="-5"/>
          <w:u w:val="none"/>
          <w:lang w:eastAsia="pl-PL"/>
        </w:rPr>
        <w:t xml:space="preserve">wykazie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podano </w:t>
      </w:r>
      <w:r>
        <w:rPr>
          <w:rStyle w:val="Domylnaczcionkaakapitu1"/>
          <w:rFonts w:eastAsia="Times New Roman" w:cs="Calibri"/>
          <w:color w:val="000000"/>
          <w:spacing w:val="-5"/>
          <w:u w:val="none"/>
          <w:lang w:eastAsia="pl-PL"/>
        </w:rPr>
        <w:t xml:space="preserve">tylko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najważniejsze </w:t>
      </w:r>
      <w:r>
        <w:rPr>
          <w:rStyle w:val="Domylnaczcionkaakapitu1"/>
          <w:rFonts w:eastAsia="Times New Roman" w:cs="Calibri"/>
          <w:color w:val="000000"/>
          <w:spacing w:val="-5"/>
          <w:u w:val="none"/>
          <w:lang w:eastAsia="pl-PL"/>
        </w:rPr>
        <w:t xml:space="preserve">akty prawne,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związane </w:t>
      </w:r>
      <w:r>
        <w:rPr>
          <w:rStyle w:val="Domylnaczcionkaakapitu1"/>
          <w:rFonts w:eastAsia="Times New Roman" w:cs="Calibri"/>
          <w:color w:val="000000"/>
          <w:spacing w:val="-1"/>
          <w:u w:val="none"/>
          <w:lang w:eastAsia="pl-PL"/>
        </w:rPr>
        <w:t xml:space="preserve">z </w:t>
      </w:r>
      <w:r>
        <w:rPr>
          <w:rStyle w:val="Domylnaczcionkaakapitu1"/>
          <w:rFonts w:eastAsia="Times New Roman" w:cs="Calibri"/>
          <w:color w:val="000000"/>
          <w:spacing w:val="-7"/>
          <w:u w:val="none"/>
          <w:lang w:eastAsia="pl-PL"/>
        </w:rPr>
        <w:t xml:space="preserve">wykonaniem zamierzenia inwestycyjnego. Obowiązkiem Wykonawcy </w:t>
      </w:r>
      <w:r>
        <w:rPr>
          <w:rStyle w:val="Domylnaczcionkaakapitu1"/>
          <w:rFonts w:eastAsia="Times New Roman" w:cs="Calibri"/>
          <w:color w:val="000000"/>
          <w:spacing w:val="-5"/>
          <w:u w:val="none"/>
          <w:lang w:eastAsia="pl-PL"/>
        </w:rPr>
        <w:t xml:space="preserve">jest </w:t>
      </w:r>
      <w:r>
        <w:rPr>
          <w:rStyle w:val="Domylnaczcionkaakapitu1"/>
          <w:rFonts w:eastAsia="Times New Roman" w:cs="Calibri"/>
          <w:color w:val="000000"/>
          <w:spacing w:val="-7"/>
          <w:u w:val="none"/>
          <w:lang w:eastAsia="pl-PL"/>
        </w:rPr>
        <w:t xml:space="preserve">stosowanie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wszelkich innych </w:t>
      </w:r>
      <w:r>
        <w:rPr>
          <w:rStyle w:val="Domylnaczcionkaakapitu1"/>
          <w:rFonts w:eastAsia="Times New Roman" w:cs="Calibri"/>
          <w:color w:val="000000"/>
          <w:spacing w:val="-7"/>
          <w:u w:val="none"/>
          <w:lang w:eastAsia="pl-PL"/>
        </w:rPr>
        <w:t xml:space="preserve">obowiązujących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aktów </w:t>
      </w:r>
      <w:r>
        <w:rPr>
          <w:rStyle w:val="Domylnaczcionkaakapitu1"/>
          <w:rFonts w:eastAsia="Times New Roman" w:cs="Calibri"/>
          <w:color w:val="000000"/>
          <w:spacing w:val="-7"/>
          <w:u w:val="none"/>
          <w:lang w:eastAsia="pl-PL"/>
        </w:rPr>
        <w:t xml:space="preserve">prawnych, przepisów, norm lub równoważnych,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 mających </w:t>
      </w:r>
      <w:r>
        <w:rPr>
          <w:rStyle w:val="Domylnaczcionkaakapitu1"/>
          <w:rFonts w:eastAsia="Times New Roman" w:cs="Calibri"/>
          <w:color w:val="000000"/>
          <w:spacing w:val="-7"/>
          <w:u w:val="none"/>
          <w:lang w:eastAsia="pl-PL"/>
        </w:rPr>
        <w:t xml:space="preserve">zastosowanie </w:t>
      </w:r>
      <w:r>
        <w:rPr>
          <w:rStyle w:val="Domylnaczcionkaakapitu1"/>
          <w:rFonts w:eastAsia="Times New Roman" w:cs="Calibri"/>
          <w:color w:val="000000"/>
          <w:spacing w:val="-6"/>
          <w:u w:val="none"/>
          <w:lang w:eastAsia="pl-PL"/>
        </w:rPr>
        <w:t xml:space="preserve">przy realizacji </w:t>
      </w:r>
      <w:r>
        <w:rPr>
          <w:rStyle w:val="Domylnaczcionkaakapitu1"/>
          <w:rFonts w:eastAsia="Times New Roman" w:cs="Calibri"/>
          <w:color w:val="000000"/>
          <w:spacing w:val="-1"/>
          <w:u w:val="none"/>
          <w:lang w:eastAsia="pl-PL"/>
        </w:rPr>
        <w:t>przedmiotu zamówienia</w:t>
      </w:r>
      <w:r>
        <w:rPr>
          <w:rStyle w:val="Domylnaczcionkaakapitu1"/>
          <w:rFonts w:eastAsia="Times New Roman" w:cs="Calibri"/>
          <w:b/>
          <w:bCs/>
          <w:color w:val="000000"/>
          <w:spacing w:val="-1"/>
          <w:u w:val="none"/>
          <w:lang w:eastAsia="pl-PL"/>
        </w:rPr>
        <w:t>.</w:t>
      </w:r>
    </w:p>
    <w:p>
      <w:pPr>
        <w:pStyle w:val="ListParagraph"/>
        <w:spacing w:lineRule="auto" w:line="276"/>
        <w:ind w:hanging="0" w:left="-57"/>
        <w:rPr>
          <w:rFonts w:ascii="Calibri" w:hAnsi="Calibri"/>
          <w:u w:val="none"/>
        </w:rPr>
      </w:pPr>
      <w:r>
        <w:rPr>
          <w:u w:val="none"/>
        </w:rPr>
      </w:r>
    </w:p>
    <w:p>
      <w:pPr>
        <w:pStyle w:val="Normal"/>
        <w:spacing w:lineRule="auto" w:line="240"/>
        <w:jc w:val="center"/>
        <w:rPr/>
      </w:pPr>
      <w:r>
        <w:rPr>
          <w:rFonts w:cs="Arial Narrow"/>
          <w:b/>
          <w:bCs/>
          <w:color w:val="3465A4"/>
          <w:sz w:val="24"/>
          <w:szCs w:val="24"/>
          <w:lang w:eastAsia="pl-PL" w:bidi="he-IL"/>
        </w:rPr>
        <w:t xml:space="preserve">II OPIS PRZEDMIOTU ZAMÓWIENIA </w:t>
      </w:r>
    </w:p>
    <w:p>
      <w:pPr>
        <w:pStyle w:val="Normal"/>
        <w:spacing w:lineRule="auto" w:line="240"/>
        <w:jc w:val="center"/>
        <w:rPr/>
      </w:pPr>
      <w:r>
        <w:rPr>
          <w:rFonts w:cs="Arial Narrow"/>
          <w:b/>
          <w:bCs/>
          <w:color w:val="3465A4"/>
          <w:sz w:val="24"/>
          <w:szCs w:val="24"/>
          <w:lang w:eastAsia="pl-PL" w:bidi="he-IL"/>
        </w:rPr>
        <w:t xml:space="preserve">PODLEGAJĄCEGO NADZOROWI INWESTORSKIEMU </w:t>
      </w:r>
    </w:p>
    <w:p>
      <w:pPr>
        <w:pStyle w:val="ListParagraph"/>
        <w:spacing w:lineRule="auto" w:line="276"/>
        <w:ind w:hanging="0" w:left="-57"/>
        <w:rPr/>
      </w:pPr>
      <w:r>
        <w:rPr>
          <w:b/>
          <w:bCs/>
          <w:i/>
          <w:iCs/>
          <w:sz w:val="24"/>
          <w:szCs w:val="24"/>
        </w:rPr>
        <w:t xml:space="preserve">1.  Charakterystyka  ogólna obiektu.  </w:t>
      </w:r>
    </w:p>
    <w:p>
      <w:pPr>
        <w:pStyle w:val="ListParagraph"/>
        <w:spacing w:lineRule="auto" w:line="276"/>
        <w:ind w:hanging="0" w:left="-57"/>
        <w:rPr>
          <w:i/>
          <w:i/>
          <w:iCs/>
        </w:rPr>
      </w:pPr>
      <w:r>
        <w:rPr>
          <w:i/>
          <w:iCs/>
        </w:rPr>
      </w:r>
    </w:p>
    <w:p>
      <w:pPr>
        <w:pStyle w:val="Podstawowy"/>
        <w:numPr>
          <w:ilvl w:val="0"/>
          <w:numId w:val="0"/>
        </w:numPr>
        <w:tabs>
          <w:tab w:val="clear" w:pos="1365"/>
          <w:tab w:val="left" w:pos="682" w:leader="none"/>
        </w:tabs>
        <w:spacing w:lineRule="auto" w:line="276"/>
        <w:ind w:hanging="0" w:left="0"/>
        <w:rPr/>
      </w:pPr>
      <w:r>
        <w:rPr>
          <w:rFonts w:cs="Calibri"/>
          <w:lang w:eastAsia="pl-PL" w:bidi="he-IL"/>
        </w:rPr>
        <w:tab/>
        <w:t>IX Oddział Wewnętrzny jest istniejącą jednostką szpitalną, która zajmuje się diagnostyką, leczeniem oraz monitorowaniem pacjentów z szerokim spektrum schorzeń narządów wewnętrznych.</w:t>
      </w:r>
    </w:p>
    <w:p>
      <w:pPr>
        <w:pStyle w:val="Podstawowy"/>
        <w:numPr>
          <w:ilvl w:val="0"/>
          <w:numId w:val="0"/>
        </w:numPr>
        <w:tabs>
          <w:tab w:val="clear" w:pos="1365"/>
          <w:tab w:val="left" w:pos="682" w:leader="none"/>
        </w:tabs>
        <w:overflowPunct w:val="false"/>
        <w:spacing w:lineRule="auto" w:line="276"/>
        <w:ind w:hanging="0" w:left="0"/>
        <w:rPr>
          <w:rFonts w:ascii="Calibri" w:hAnsi="Calibri"/>
        </w:rPr>
      </w:pPr>
      <w:r>
        <w:rPr>
          <w:lang w:eastAsia="pl-PL" w:bidi="he-IL"/>
        </w:rPr>
        <w:tab/>
        <w:t xml:space="preserve">Przedmiotem zamówienia jest wykonanie robót budowlanych w zakresie modernizacji oddziału z zapleczem diagnostyczno – przyjęciowym i administracyjno </w:t>
      </w:r>
      <w:r>
        <w:rPr>
          <w:rFonts w:cs="Calibri"/>
          <w:lang w:eastAsia="pl-PL" w:bidi="he-IL"/>
        </w:rPr>
        <w:t>–</w:t>
      </w:r>
      <w:r>
        <w:rPr>
          <w:lang w:eastAsia="pl-PL" w:bidi="he-IL"/>
        </w:rPr>
        <w:t xml:space="preserve"> gospodarczym wraz                         z </w:t>
      </w:r>
      <w:r>
        <w:rPr>
          <w:rFonts w:cs="Calibri"/>
          <w:lang w:eastAsia="pl-PL" w:bidi="he-IL"/>
        </w:rPr>
        <w:t xml:space="preserve">ciągami komunikacyjnymi niezbędnymi dla obsługi ruchu pacjentów pomiędzy oddziałem łóżkowym, a zapleczem diagnostyczno – przyjęciowym i administracyjnym. </w:t>
      </w:r>
    </w:p>
    <w:p>
      <w:pPr>
        <w:pStyle w:val="Podstawowy"/>
        <w:numPr>
          <w:ilvl w:val="0"/>
          <w:numId w:val="0"/>
        </w:numPr>
        <w:tabs>
          <w:tab w:val="clear" w:pos="1365"/>
          <w:tab w:val="left" w:pos="682" w:leader="none"/>
        </w:tabs>
        <w:spacing w:lineRule="auto" w:line="276"/>
        <w:ind w:hanging="0" w:left="57"/>
        <w:rPr>
          <w:rFonts w:ascii="Calibri" w:hAnsi="Calibri"/>
        </w:rPr>
      </w:pPr>
      <w:r>
        <w:rPr>
          <w:rFonts w:eastAsia="Times New Roman" w:cs="Cambria"/>
          <w:color w:val="000000"/>
          <w:lang w:eastAsia="pl-PL" w:bidi="he-IL"/>
        </w:rPr>
        <w:tab/>
        <w:t xml:space="preserve">Modernizacja oddziału jest elementem działań Szpitala nakierowanych                                        na wprowadzanie rozwiązań mających na celu stworzenie placówki nowoczesnej i przyjaznej pacjentowi. Inwestycja w znacznym stopniu przyczyni się do poprawy funkcjonalności oddziału, podniesienia efektywności i jakości sprawowanej opieki medycznej oraz zapewni komfort                                       i bezpieczeństwo pacjentom i  personelowi. </w:t>
      </w:r>
    </w:p>
    <w:p>
      <w:pPr>
        <w:pStyle w:val="ListParagraph"/>
        <w:tabs>
          <w:tab w:val="clear" w:pos="720"/>
          <w:tab w:val="left" w:pos="396" w:leader="none"/>
        </w:tabs>
        <w:spacing w:lineRule="auto" w:line="276"/>
        <w:ind w:hanging="0" w:left="57"/>
        <w:rPr>
          <w:rFonts w:ascii="Calibri" w:hAnsi="Calibri"/>
        </w:rPr>
      </w:pPr>
      <w:r>
        <w:rPr/>
      </w:r>
    </w:p>
    <w:p>
      <w:pPr>
        <w:pStyle w:val="Podstawowy"/>
        <w:numPr>
          <w:ilvl w:val="0"/>
          <w:numId w:val="0"/>
        </w:numPr>
        <w:spacing w:lineRule="auto" w:line="276"/>
        <w:ind w:hanging="0" w:left="0"/>
        <w:rPr/>
      </w:pPr>
      <w:r>
        <w:rPr>
          <w:rFonts w:cs="Calibri"/>
          <w:b/>
          <w:bCs/>
          <w:i/>
          <w:iCs/>
          <w:sz w:val="24"/>
          <w:szCs w:val="24"/>
          <w:lang w:eastAsia="pl-PL" w:bidi="he-IL"/>
        </w:rPr>
        <w:t xml:space="preserve">2.  Opis robót budowlanych podlegających </w:t>
      </w:r>
      <w:r>
        <w:rPr>
          <w:rFonts w:cs="Calibri"/>
          <w:b/>
          <w:bCs/>
          <w:i/>
          <w:iCs/>
          <w:sz w:val="24"/>
          <w:szCs w:val="24"/>
        </w:rPr>
        <w:t>Nadzorowi Inwestorskiemu.</w:t>
      </w:r>
    </w:p>
    <w:p>
      <w:pPr>
        <w:pStyle w:val="Podstawowy"/>
        <w:widowControl/>
        <w:numPr>
          <w:ilvl w:val="0"/>
          <w:numId w:val="7"/>
        </w:numPr>
        <w:suppressAutoHyphens w:val="true"/>
        <w:bidi w:val="0"/>
        <w:spacing w:lineRule="auto" w:line="276" w:before="0" w:after="120"/>
        <w:ind w:hanging="340" w:left="340" w:right="0"/>
        <w:jc w:val="both"/>
        <w:rPr>
          <w:b/>
          <w:bCs/>
        </w:rPr>
      </w:pPr>
      <w:r>
        <w:rPr>
          <w:b/>
          <w:bCs/>
        </w:rPr>
        <w:t xml:space="preserve">Roboty przygotowawcze. </w:t>
      </w:r>
    </w:p>
    <w:p>
      <w:pPr>
        <w:pStyle w:val="Podstawowy"/>
        <w:widowControl/>
        <w:numPr>
          <w:ilvl w:val="0"/>
          <w:numId w:val="0"/>
        </w:numPr>
        <w:suppressAutoHyphens w:val="true"/>
        <w:bidi w:val="0"/>
        <w:spacing w:lineRule="auto" w:line="276" w:before="0" w:after="120"/>
        <w:ind w:hanging="0" w:left="340" w:right="0"/>
        <w:jc w:val="both"/>
        <w:rPr/>
      </w:pPr>
      <w:r>
        <w:rPr/>
        <w:t>W ramach robót przygotowawczych przewiduje się w szczególności:</w:t>
      </w:r>
    </w:p>
    <w:p>
      <w:pPr>
        <w:pStyle w:val="Podstawowy"/>
        <w:widowControl/>
        <w:numPr>
          <w:ilvl w:val="1"/>
          <w:numId w:val="7"/>
        </w:numPr>
        <w:suppressAutoHyphens w:val="true"/>
        <w:bidi w:val="0"/>
        <w:spacing w:lineRule="auto" w:line="276" w:before="0" w:after="120"/>
        <w:ind w:hanging="340" w:left="567" w:right="0"/>
        <w:jc w:val="both"/>
        <w:rPr/>
      </w:pPr>
      <w:r>
        <w:rPr>
          <w:u w:val="none"/>
        </w:rPr>
        <w:t xml:space="preserve">Zorganizowanie w miejscach udostępnionych przez Zamawiającego </w:t>
      </w:r>
      <w:r>
        <w:rPr>
          <w:rFonts w:cs="Cambria"/>
          <w:color w:val="000000"/>
          <w:u w:val="none"/>
        </w:rPr>
        <w:t xml:space="preserve">zaplecza budowy, w tym socjalnego i sanitarnego, </w:t>
      </w:r>
      <w:r>
        <w:rPr>
          <w:u w:val="none"/>
        </w:rPr>
        <w:t>powierzchni składowych oraz zapewnienie kontenerów magazynowych o łącznej powierzchni nie mniejszej niż 50 m</w:t>
      </w:r>
      <w:r>
        <w:rPr>
          <w:rFonts w:eastAsia="Calibri" w:cs="Calibri"/>
          <w:u w:val="none"/>
        </w:rPr>
        <w:t>²</w:t>
      </w:r>
      <w:r>
        <w:rPr>
          <w:u w:val="none"/>
        </w:rPr>
        <w:t xml:space="preserve">, przeznaczonych do przechowania w okresie modernizacji wyposażenia Oddziału IX, które nie będzie podlegało utylizacji; </w:t>
      </w:r>
    </w:p>
    <w:p>
      <w:pPr>
        <w:pStyle w:val="Podstawowy"/>
        <w:widowControl/>
        <w:numPr>
          <w:ilvl w:val="1"/>
          <w:numId w:val="7"/>
        </w:numPr>
        <w:tabs>
          <w:tab w:val="clear" w:pos="1365"/>
          <w:tab w:val="left" w:pos="1015" w:leader="none"/>
        </w:tabs>
        <w:suppressAutoHyphens w:val="true"/>
        <w:bidi w:val="0"/>
        <w:spacing w:lineRule="auto" w:line="276" w:before="0" w:after="120"/>
        <w:ind w:hanging="340" w:left="567" w:right="0"/>
        <w:jc w:val="both"/>
        <w:rPr/>
      </w:pPr>
      <w:r>
        <w:rPr>
          <w:u w:val="none"/>
        </w:rPr>
        <w:t>Przeniesienie do kontenerów magazynowych, elementów wyposażenia przeznaczonego do przechowania wskazanych przez Zamawiającego;</w:t>
      </w:r>
    </w:p>
    <w:p>
      <w:pPr>
        <w:pStyle w:val="Podstawowy"/>
        <w:widowControl/>
        <w:numPr>
          <w:ilvl w:val="1"/>
          <w:numId w:val="7"/>
        </w:numPr>
        <w:tabs>
          <w:tab w:val="clear" w:pos="1365"/>
          <w:tab w:val="left" w:pos="1015" w:leader="none"/>
        </w:tabs>
        <w:suppressAutoHyphens w:val="true"/>
        <w:bidi w:val="0"/>
        <w:spacing w:lineRule="auto" w:line="276" w:before="0" w:after="120"/>
        <w:ind w:hanging="340" w:left="567" w:right="0"/>
        <w:jc w:val="both"/>
        <w:rPr/>
      </w:pPr>
      <w:r>
        <w:rPr>
          <w:u w:val="none"/>
        </w:rPr>
        <w:t>Utylizacja pozostałych elementów wyposażenia;</w:t>
      </w:r>
    </w:p>
    <w:p>
      <w:pPr>
        <w:pStyle w:val="Podstawowy"/>
        <w:widowControl/>
        <w:numPr>
          <w:ilvl w:val="1"/>
          <w:numId w:val="7"/>
        </w:numPr>
        <w:suppressAutoHyphens w:val="true"/>
        <w:bidi w:val="0"/>
        <w:spacing w:lineRule="auto" w:line="276" w:before="0" w:after="120"/>
        <w:ind w:hanging="340" w:left="567" w:right="0"/>
        <w:jc w:val="both"/>
        <w:rPr/>
      </w:pPr>
      <w:r>
        <w:rPr/>
        <w:t>Zabezpieczenie istniejących elementów obiektu, które mogły by ulec zniszczeniu w trakcie prowadzenia prac.</w:t>
      </w:r>
    </w:p>
    <w:p>
      <w:pPr>
        <w:pStyle w:val="Podstawowy"/>
        <w:widowControl/>
        <w:numPr>
          <w:ilvl w:val="0"/>
          <w:numId w:val="7"/>
        </w:numPr>
        <w:suppressAutoHyphens w:val="true"/>
        <w:bidi w:val="0"/>
        <w:spacing w:lineRule="auto" w:line="276" w:before="0" w:after="120"/>
        <w:ind w:hanging="340" w:left="340" w:right="0"/>
        <w:jc w:val="both"/>
        <w:rPr/>
      </w:pPr>
      <w:r>
        <w:rPr>
          <w:b/>
          <w:bCs/>
        </w:rPr>
        <w:t>Roboty budowlane architektura.</w:t>
      </w:r>
    </w:p>
    <w:p>
      <w:pPr>
        <w:pStyle w:val="Normal"/>
        <w:widowControl/>
        <w:suppressAutoHyphens w:val="true"/>
        <w:bidi w:val="0"/>
        <w:spacing w:lineRule="auto" w:line="276" w:before="0" w:after="160"/>
        <w:ind w:hanging="0" w:left="397" w:right="0"/>
        <w:jc w:val="both"/>
        <w:rPr/>
      </w:pPr>
      <w:r>
        <w:rPr/>
        <w:t xml:space="preserve">W ramach zadnia przewiduje się również:  </w:t>
      </w:r>
    </w:p>
    <w:p>
      <w:pPr>
        <w:pStyle w:val="Podstawowy"/>
        <w:widowControl/>
        <w:numPr>
          <w:ilvl w:val="1"/>
          <w:numId w:val="7"/>
        </w:numPr>
        <w:tabs>
          <w:tab w:val="clear" w:pos="1365"/>
          <w:tab w:val="left" w:pos="1015" w:leader="none"/>
        </w:tabs>
        <w:suppressAutoHyphens w:val="true"/>
        <w:bidi w:val="0"/>
        <w:spacing w:lineRule="auto" w:line="259" w:before="0" w:after="120"/>
        <w:ind w:hanging="340" w:left="567" w:right="0"/>
        <w:jc w:val="both"/>
        <w:rPr/>
      </w:pPr>
      <w:r>
        <w:rPr/>
        <w:t>Uszczelnienie dachu i wykuszy w miejscach gdzie powstają zacieki na ściankach, osuszenie, odgrzybienie ścian w miejscach powstania zacieków, wymiana orynnowania, obróbki blacharskiej w miejscach gdzie powstają zacieki;</w:t>
      </w:r>
    </w:p>
    <w:p>
      <w:pPr>
        <w:pStyle w:val="Podstawowy"/>
        <w:widowControl/>
        <w:numPr>
          <w:ilvl w:val="1"/>
          <w:numId w:val="7"/>
        </w:numPr>
        <w:tabs>
          <w:tab w:val="clear" w:pos="1365"/>
          <w:tab w:val="left" w:pos="1015" w:leader="none"/>
        </w:tabs>
        <w:suppressAutoHyphens w:val="true"/>
        <w:bidi w:val="0"/>
        <w:spacing w:lineRule="auto" w:line="259" w:before="0" w:after="120"/>
        <w:ind w:hanging="340" w:left="624" w:right="0"/>
        <w:jc w:val="both"/>
        <w:rPr/>
      </w:pPr>
      <w:r>
        <w:rPr>
          <w:rFonts w:cs="Calibri"/>
          <w:u w:val="none"/>
        </w:rPr>
        <w:t>Podczas wykonania ścian działowych i sufitów podwieszanych w miejscach, gdzie przewidziane jest zawieszanie/montaż przedmiotów tj. panele nadłóżkowe, szafki wiszące,  systemowe podwieszane parawany sufitowe itp. należy zamontować profile odpowiedniej nośności, montowane do podłoża nośnego i stropu.</w:t>
      </w:r>
      <w:r>
        <w:rPr>
          <w:rFonts w:cs="Calibri"/>
          <w:b/>
          <w:bCs/>
          <w:u w:val="none"/>
        </w:rPr>
        <w:t xml:space="preserve"> </w:t>
      </w:r>
    </w:p>
    <w:p>
      <w:pPr>
        <w:pStyle w:val="Podstawowy"/>
        <w:widowControl/>
        <w:numPr>
          <w:ilvl w:val="0"/>
          <w:numId w:val="7"/>
        </w:numPr>
        <w:suppressAutoHyphens w:val="true"/>
        <w:bidi w:val="0"/>
        <w:spacing w:lineRule="auto" w:line="276" w:before="0" w:after="120"/>
        <w:ind w:hanging="340" w:left="340" w:right="0"/>
        <w:jc w:val="both"/>
        <w:rPr/>
      </w:pPr>
      <w:r>
        <w:rPr>
          <w:b/>
          <w:bCs/>
        </w:rPr>
        <w:t>Roboty budowlane w zakresie wykonania instalacji sanitarnych, instalacji elektroenergetycznych, instalacji teletechnicznych, instalacji gazów medycznych.</w:t>
      </w:r>
      <w:r>
        <w:rPr/>
        <w:t xml:space="preserve"> </w:t>
      </w:r>
    </w:p>
    <w:p>
      <w:pPr>
        <w:pStyle w:val="Podstawowy"/>
        <w:widowControl/>
        <w:numPr>
          <w:ilvl w:val="0"/>
          <w:numId w:val="0"/>
        </w:numPr>
        <w:suppressAutoHyphens w:val="true"/>
        <w:bidi w:val="0"/>
        <w:spacing w:lineRule="auto" w:line="276" w:before="0" w:after="120"/>
        <w:ind w:hanging="0" w:left="340" w:right="0"/>
        <w:jc w:val="both"/>
        <w:rPr/>
      </w:pPr>
      <w:r>
        <w:rPr/>
        <w:t>Szczegółowy opis zakresu robót instalacyjnych stanowi dokumentacja projektowa oraz Specyfikacje Techniczne Wykonania i Odbioru Robót dla poszczególnych branż. Wykonując roboty budowlane branży sanitarnej należy:</w:t>
      </w:r>
    </w:p>
    <w:p>
      <w:pPr>
        <w:pStyle w:val="Podstawowy"/>
        <w:widowControl/>
        <w:numPr>
          <w:ilvl w:val="3"/>
          <w:numId w:val="7"/>
        </w:numPr>
        <w:suppressAutoHyphens w:val="true"/>
        <w:bidi w:val="0"/>
        <w:spacing w:lineRule="auto" w:line="259" w:before="0" w:after="120"/>
        <w:ind w:hanging="340" w:left="567" w:right="0"/>
        <w:jc w:val="both"/>
        <w:rPr/>
      </w:pPr>
      <w:r>
        <w:rPr/>
        <w:t>Przewidzieć etapowanie prac montażowych z uwagi na wymianę części istniejących i będących w ciągłej eksploatacji instalacji wodnych. Należy wykonać i uzgodnić z Użytkownikami dokładny harmonogram prac dotyczących włączenia nowych instalacji w istniejące.</w:t>
      </w:r>
    </w:p>
    <w:p>
      <w:pPr>
        <w:pStyle w:val="Podstawowy"/>
        <w:widowControl/>
        <w:numPr>
          <w:ilvl w:val="3"/>
          <w:numId w:val="7"/>
        </w:numPr>
        <w:suppressAutoHyphens w:val="true"/>
        <w:bidi w:val="0"/>
        <w:spacing w:lineRule="auto" w:line="259" w:before="0" w:after="120"/>
        <w:ind w:hanging="340" w:left="567" w:right="0"/>
        <w:jc w:val="both"/>
        <w:rPr/>
      </w:pPr>
      <w:r>
        <w:rPr/>
        <w:t>Wszelkie prace montażowe wykonać zgodnie z wymaganiami poszczególnych rodzajów instalacji, należy zachować szczególną staranność w zakresie umożliwiającym późniejszą eksploatację, konserwację i wykonywanie bieżących napraw instalacji.</w:t>
      </w:r>
    </w:p>
    <w:p>
      <w:pPr>
        <w:pStyle w:val="Podstawowy"/>
        <w:widowControl/>
        <w:numPr>
          <w:ilvl w:val="3"/>
          <w:numId w:val="7"/>
        </w:numPr>
        <w:tabs>
          <w:tab w:val="left" w:pos="1131" w:leader="none"/>
          <w:tab w:val="left" w:pos="1365" w:leader="none"/>
        </w:tabs>
        <w:suppressAutoHyphens w:val="true"/>
        <w:bidi w:val="0"/>
        <w:spacing w:lineRule="auto" w:line="259" w:before="0" w:after="120"/>
        <w:ind w:hanging="340" w:left="567" w:right="0"/>
        <w:jc w:val="both"/>
        <w:rPr>
          <w:u w:val="none"/>
        </w:rPr>
      </w:pPr>
      <w:r>
        <w:rPr>
          <w:u w:val="none"/>
        </w:rPr>
        <w:t>Prowadzić instalacje pod tynkiem w ścianach, w warstwie posadzki, w przestrzeni sufitów podwieszanych, w szybach instalacyjnych lub w przypadku konieczności na powierzchni ścian, sufitów lub posadzek i obudowywać ściankami typu lekkiego z płyt g-k.</w:t>
      </w:r>
    </w:p>
    <w:p>
      <w:pPr>
        <w:pStyle w:val="Podstawowy"/>
        <w:widowControl/>
        <w:numPr>
          <w:ilvl w:val="3"/>
          <w:numId w:val="7"/>
        </w:numPr>
        <w:tabs>
          <w:tab w:val="clear" w:pos="1365"/>
          <w:tab w:val="left" w:pos="1131" w:leader="none"/>
          <w:tab w:val="left" w:pos="1535" w:leader="none"/>
        </w:tabs>
        <w:suppressAutoHyphens w:val="true"/>
        <w:bidi w:val="0"/>
        <w:spacing w:lineRule="auto" w:line="259" w:before="0" w:after="120"/>
        <w:ind w:hanging="340" w:left="510" w:right="0"/>
        <w:jc w:val="both"/>
        <w:rPr/>
      </w:pPr>
      <w:r>
        <w:rPr>
          <w:u w:val="none"/>
        </w:rPr>
        <w:t>Przewody elektryczne zasilające rolety zewnętrzne – Refleksole poprowadzone nadtynkowo w  korytkach elektrycznych należy poprowadzić pod tynkiem. W przypadku stwierdzenia niezgodności przewodu zasilającego z obowiązującą normą lub równoważną dedykowaną dla szpitali należy wymienić na właściwe.</w:t>
      </w:r>
    </w:p>
    <w:p>
      <w:pPr>
        <w:pStyle w:val="Podstawowy"/>
        <w:widowControl/>
        <w:numPr>
          <w:ilvl w:val="3"/>
          <w:numId w:val="7"/>
        </w:numPr>
        <w:tabs>
          <w:tab w:val="left" w:pos="565" w:leader="none"/>
          <w:tab w:val="left" w:pos="1365" w:leader="none"/>
        </w:tabs>
        <w:suppressAutoHyphens w:val="true"/>
        <w:bidi w:val="0"/>
        <w:spacing w:lineRule="auto" w:line="259" w:before="0" w:after="120"/>
        <w:ind w:hanging="340" w:left="567" w:right="0"/>
        <w:jc w:val="both"/>
        <w:rPr/>
      </w:pPr>
      <w:r>
        <w:rPr/>
        <w:t>Zapewnić właściwy dostęp do krytycznych elementów instalacji (np. zawory, skrzynki rozdzielcze, elementy pomiarowe, regulacyjne itp.) poprzez drzwiczki rewizyjne.</w:t>
      </w:r>
    </w:p>
    <w:p>
      <w:pPr>
        <w:pStyle w:val="Podstawowy"/>
        <w:widowControl/>
        <w:numPr>
          <w:ilvl w:val="3"/>
          <w:numId w:val="7"/>
        </w:numPr>
        <w:suppressAutoHyphens w:val="true"/>
        <w:bidi w:val="0"/>
        <w:spacing w:lineRule="auto" w:line="259" w:before="0" w:after="120"/>
        <w:ind w:hanging="340" w:left="567" w:right="0"/>
        <w:jc w:val="both"/>
        <w:rPr/>
      </w:pPr>
      <w:r>
        <w:rPr/>
        <w:t>Zabezpieczyć ppoż., zgodnie z projektem przejścia przewodów przez przegrody budowlane i  strop oddzielenia pożarowego.</w:t>
      </w:r>
    </w:p>
    <w:p>
      <w:pPr>
        <w:pStyle w:val="Podstawowy"/>
        <w:widowControl/>
        <w:numPr>
          <w:ilvl w:val="3"/>
          <w:numId w:val="7"/>
        </w:numPr>
        <w:suppressAutoHyphens w:val="true"/>
        <w:bidi w:val="0"/>
        <w:spacing w:lineRule="auto" w:line="259" w:before="0" w:after="120"/>
        <w:ind w:hanging="340" w:left="567" w:right="0"/>
        <w:jc w:val="both"/>
        <w:rPr/>
      </w:pPr>
      <w:r>
        <w:rPr>
          <w:u w:val="none"/>
        </w:rPr>
        <w:t xml:space="preserve">Zapewnić zsieciowanie i współpracę wszystkich instalacji teletechnicznych z istniejącymi w Szpitalu. </w:t>
      </w:r>
      <w:r>
        <w:rPr/>
        <w:t xml:space="preserve"> </w:t>
      </w:r>
    </w:p>
    <w:p>
      <w:pPr>
        <w:pStyle w:val="Podstawowy"/>
        <w:widowControl/>
        <w:numPr>
          <w:ilvl w:val="0"/>
          <w:numId w:val="7"/>
        </w:numPr>
        <w:tabs>
          <w:tab w:val="left" w:pos="1131" w:leader="none"/>
          <w:tab w:val="left" w:pos="1365" w:leader="none"/>
        </w:tabs>
        <w:suppressAutoHyphens w:val="true"/>
        <w:bidi w:val="0"/>
        <w:spacing w:lineRule="auto" w:line="276" w:before="0" w:after="120"/>
        <w:ind w:hanging="340" w:left="0" w:right="0"/>
        <w:jc w:val="both"/>
        <w:rPr>
          <w:u w:val="none"/>
        </w:rPr>
      </w:pPr>
      <w:r>
        <w:rPr>
          <w:rFonts w:cs="Arial"/>
          <w:b/>
          <w:bCs/>
          <w:color w:val="000000"/>
          <w:u w:val="none"/>
        </w:rPr>
        <w:t xml:space="preserve">UWAGA: </w:t>
      </w:r>
      <w:r>
        <w:rPr>
          <w:rFonts w:cs="Arial"/>
          <w:b w:val="false"/>
          <w:bCs w:val="false"/>
          <w:color w:val="000000"/>
          <w:u w:val="none"/>
        </w:rPr>
        <w:t>Zamawiający rozszerza zakres przedmiotu zamówienia o wykonanie</w:t>
      </w:r>
      <w:r>
        <w:rPr>
          <w:rFonts w:cs="Arial"/>
          <w:b/>
          <w:bCs/>
          <w:color w:val="000000"/>
          <w:u w:val="none"/>
        </w:rPr>
        <w:t xml:space="preserve"> </w:t>
      </w:r>
      <w:r>
        <w:rPr>
          <w:rFonts w:cs="Arial"/>
          <w:b w:val="false"/>
          <w:bCs w:val="false"/>
          <w:color w:val="000000"/>
          <w:u w:val="none"/>
        </w:rPr>
        <w:t>Adaptacji pomieszczenia niepełniącego dotychczas funkcji pomieszczenia higieniczno – sanitarnego na toaletę dla niepełnosprawnych. Przedmiotowe pomieszczenie znajduje się poza obszarem objętym modernizacją Oddziału Wewnętrznego nr IX, w jego bezpośrednim sąsiedztwie, na 2 piętrze w łączniku pomiędzy budynkami  A i A1 na Oddziale Sanitarno – Epidemiologicznym. Zadanie należy zrealizować  na podstawie odrębnego opracowania pn. „Projekt wykonania toalety dla niepełnosprawnych - budynek A-1, łącznik 2 Piętro”, stanowiącego załącznik do niniejszego opracowania.</w:t>
      </w:r>
    </w:p>
    <w:p>
      <w:pPr>
        <w:pStyle w:val="Podstawowy"/>
        <w:widowControl/>
        <w:numPr>
          <w:ilvl w:val="0"/>
          <w:numId w:val="7"/>
        </w:numPr>
        <w:suppressAutoHyphens w:val="true"/>
        <w:bidi w:val="0"/>
        <w:spacing w:lineRule="auto" w:line="276" w:before="0" w:after="120"/>
        <w:ind w:hanging="340" w:left="0" w:right="0"/>
        <w:jc w:val="both"/>
        <w:rPr>
          <w:b w:val="false"/>
          <w:bCs w:val="false"/>
          <w:color w:val="000000"/>
          <w:u w:val="none"/>
        </w:rPr>
      </w:pPr>
      <w:r>
        <w:rPr>
          <w:b/>
          <w:bCs/>
          <w:color w:val="000000"/>
          <w:u w:val="none"/>
        </w:rPr>
        <w:t xml:space="preserve">UWAGA: </w:t>
      </w:r>
      <w:r>
        <w:rPr>
          <w:b w:val="false"/>
          <w:bCs w:val="false"/>
          <w:color w:val="000000"/>
          <w:u w:val="none"/>
        </w:rPr>
        <w:t xml:space="preserve">Zamawiający wprowadza zmianę do dokumentacji projektowej polegającą na zamianie stelaży podtynkowych WC do montażu w ściance G-K na WC KOMPAKTY. </w:t>
      </w:r>
    </w:p>
    <w:p>
      <w:pPr>
        <w:pStyle w:val="Podstawowy"/>
        <w:widowControl/>
        <w:numPr>
          <w:ilvl w:val="0"/>
          <w:numId w:val="7"/>
        </w:numPr>
        <w:suppressAutoHyphens w:val="true"/>
        <w:bidi w:val="0"/>
        <w:spacing w:lineRule="auto" w:line="276" w:before="0" w:after="120"/>
        <w:ind w:hanging="340" w:left="0" w:right="0"/>
        <w:jc w:val="both"/>
        <w:rPr>
          <w:b w:val="false"/>
          <w:bCs w:val="false"/>
          <w:color w:val="000000"/>
          <w:u w:val="none"/>
        </w:rPr>
      </w:pPr>
      <w:r>
        <w:rPr>
          <w:b/>
          <w:bCs/>
          <w:color w:val="000000"/>
          <w:sz w:val="22"/>
          <w:szCs w:val="22"/>
          <w:u w:val="none"/>
        </w:rPr>
        <w:t xml:space="preserve">UWAGA: </w:t>
      </w:r>
      <w:r>
        <w:rPr>
          <w:b w:val="false"/>
          <w:bCs w:val="false"/>
          <w:color w:val="000000"/>
          <w:sz w:val="22"/>
          <w:szCs w:val="22"/>
          <w:u w:val="none"/>
        </w:rPr>
        <w:t xml:space="preserve">Zamawiający zobowiązuje Wykonawcę do montażu nieujętych </w:t>
      </w:r>
      <w:r>
        <w:rPr>
          <w:b w:val="false"/>
          <w:bCs w:val="false"/>
          <w:i w:val="false"/>
          <w:strike w:val="false"/>
          <w:dstrike w:val="false"/>
          <w:outline w:val="false"/>
          <w:shadow w:val="false"/>
          <w:color w:val="000000"/>
          <w:sz w:val="22"/>
          <w:szCs w:val="22"/>
          <w:u w:val="none"/>
          <w:em w:val="none"/>
        </w:rPr>
        <w:t xml:space="preserve">w przedmiarze robót </w:t>
      </w:r>
      <w:r>
        <w:rPr>
          <w:b w:val="false"/>
          <w:bCs w:val="false"/>
          <w:color w:val="000000"/>
          <w:sz w:val="22"/>
          <w:szCs w:val="22"/>
          <w:u w:val="none"/>
        </w:rPr>
        <w:t>d</w:t>
      </w:r>
      <w:r>
        <w:rPr>
          <w:b w:val="false"/>
          <w:i w:val="false"/>
          <w:strike w:val="false"/>
          <w:dstrike w:val="false"/>
          <w:outline w:val="false"/>
          <w:shadow w:val="false"/>
          <w:color w:val="000000"/>
          <w:sz w:val="22"/>
          <w:szCs w:val="22"/>
          <w:u w:val="none"/>
          <w:em w:val="none"/>
        </w:rPr>
        <w:t xml:space="preserve">ozowników na płyn dezynfekcyjny. Rodzaj – typ </w:t>
      </w:r>
      <w:r>
        <w:rPr>
          <w:rFonts w:eastAsia="SimSun" w:cs="Tahoma"/>
          <w:b w:val="false"/>
          <w:i w:val="false"/>
          <w:strike w:val="false"/>
          <w:dstrike w:val="false"/>
          <w:outline w:val="false"/>
          <w:shadow w:val="false"/>
          <w:color w:val="000000"/>
          <w:kern w:val="0"/>
          <w:sz w:val="22"/>
          <w:szCs w:val="22"/>
          <w:u w:val="none"/>
          <w:em w:val="none"/>
          <w:lang w:val="pl-PL" w:eastAsia="zh-CN" w:bidi="ar-SA"/>
        </w:rPr>
        <w:t>„</w:t>
      </w:r>
      <w:r>
        <w:rPr>
          <w:b w:val="false"/>
          <w:bCs w:val="false"/>
          <w:i w:val="false"/>
          <w:strike w:val="false"/>
          <w:dstrike w:val="false"/>
          <w:outline w:val="false"/>
          <w:shadow w:val="false"/>
          <w:color w:val="000000"/>
          <w:sz w:val="22"/>
          <w:szCs w:val="22"/>
          <w:u w:val="none"/>
          <w:em w:val="none"/>
        </w:rPr>
        <w:t>d</w:t>
      </w:r>
      <w:r>
        <w:rPr>
          <w:b w:val="false"/>
          <w:i w:val="false"/>
          <w:strike w:val="false"/>
          <w:dstrike w:val="false"/>
          <w:outline w:val="false"/>
          <w:shadow w:val="false"/>
          <w:color w:val="000000"/>
          <w:sz w:val="22"/>
          <w:szCs w:val="22"/>
          <w:u w:val="none"/>
          <w:em w:val="none"/>
        </w:rPr>
        <w:t>ozowników na płyn dezynfekcyjny</w:t>
      </w:r>
      <w:r>
        <w:rPr>
          <w:rFonts w:eastAsia="SimSun" w:cs="Tahoma"/>
          <w:b w:val="false"/>
          <w:i w:val="false"/>
          <w:strike w:val="false"/>
          <w:dstrike w:val="false"/>
          <w:outline w:val="false"/>
          <w:shadow w:val="false"/>
          <w:color w:val="000000"/>
          <w:kern w:val="0"/>
          <w:sz w:val="22"/>
          <w:szCs w:val="22"/>
          <w:u w:val="none"/>
          <w:em w:val="none"/>
          <w:lang w:val="pl-PL" w:eastAsia="zh-CN" w:bidi="ar-SA"/>
        </w:rPr>
        <w:t>”</w:t>
      </w:r>
      <w:r>
        <w:rPr>
          <w:b w:val="false"/>
          <w:i w:val="false"/>
          <w:strike w:val="false"/>
          <w:dstrike w:val="false"/>
          <w:outline w:val="false"/>
          <w:shadow w:val="false"/>
          <w:color w:val="000000"/>
          <w:sz w:val="22"/>
          <w:szCs w:val="22"/>
          <w:u w:val="none"/>
          <w:em w:val="none"/>
        </w:rPr>
        <w:t xml:space="preserve"> oraz pozostałego wyposażenie sanitariatów, Wykonawca uzgodni z Zamawiającym.</w:t>
      </w:r>
    </w:p>
    <w:p>
      <w:pPr>
        <w:pStyle w:val="Podstawowy"/>
        <w:widowControl/>
        <w:numPr>
          <w:ilvl w:val="0"/>
          <w:numId w:val="0"/>
        </w:numPr>
        <w:suppressAutoHyphens w:val="true"/>
        <w:bidi w:val="0"/>
        <w:spacing w:lineRule="auto" w:line="259" w:before="0" w:after="120"/>
        <w:ind w:hanging="0" w:left="0" w:right="0"/>
        <w:jc w:val="both"/>
        <w:rPr/>
      </w:pPr>
      <w:r>
        <w:rPr/>
      </w:r>
    </w:p>
    <w:p>
      <w:pPr>
        <w:pStyle w:val="Normal"/>
        <w:spacing w:lineRule="auto" w:line="276"/>
        <w:jc w:val="center"/>
        <w:rPr/>
      </w:pPr>
      <w:r>
        <w:rPr>
          <w:rFonts w:cs="Calibri"/>
          <w:b/>
          <w:bCs/>
          <w:color w:val="3465A4"/>
          <w:sz w:val="24"/>
          <w:szCs w:val="24"/>
        </w:rPr>
        <w:t xml:space="preserve">III ZOBOWIĄZANIA WYKONAWCY W ZAKRESIE PEŁNIENIA NADZORU INWESTORSKIEGO </w:t>
      </w:r>
    </w:p>
    <w:p>
      <w:pPr>
        <w:pStyle w:val="Normal"/>
        <w:spacing w:lineRule="auto" w:line="276"/>
        <w:jc w:val="both"/>
        <w:rPr/>
      </w:pPr>
      <w:r>
        <w:rPr>
          <w:rFonts w:cs="Calibri"/>
          <w:b/>
          <w:bCs/>
          <w:i/>
          <w:iCs/>
          <w:sz w:val="24"/>
          <w:szCs w:val="24"/>
        </w:rPr>
        <w:t>1. Zakres zadania - pełnienie nadzoru inwestorskiego.</w:t>
      </w:r>
    </w:p>
    <w:p>
      <w:pPr>
        <w:pStyle w:val="Podstawowy"/>
        <w:numPr>
          <w:ilvl w:val="0"/>
          <w:numId w:val="18"/>
        </w:numPr>
        <w:spacing w:lineRule="auto" w:line="276"/>
        <w:rPr/>
      </w:pPr>
      <w:r>
        <w:rPr/>
        <w:t xml:space="preserve">Warunkiem </w:t>
      </w:r>
      <w:r>
        <w:rPr>
          <w:rFonts w:cs="Calibri"/>
        </w:rPr>
        <w:t>realizacji Umowy jest zapewnienie Nadzoru inwestorskiego w branżach:</w:t>
      </w:r>
    </w:p>
    <w:p>
      <w:pPr>
        <w:pStyle w:val="Podstawowy"/>
        <w:numPr>
          <w:ilvl w:val="1"/>
          <w:numId w:val="18"/>
        </w:numPr>
        <w:spacing w:lineRule="auto" w:line="276"/>
        <w:rPr>
          <w:rFonts w:cs="Calibri"/>
        </w:rPr>
      </w:pPr>
      <w:r>
        <w:rPr>
          <w:rFonts w:cs="Calibri"/>
        </w:rPr>
        <w:t>budowlano – konstrukcyjnej przez Inspektora Nadzoru w branży budowlano – konstrukcyjnej,</w:t>
      </w:r>
    </w:p>
    <w:p>
      <w:pPr>
        <w:pStyle w:val="Podstawowy"/>
        <w:numPr>
          <w:ilvl w:val="1"/>
          <w:numId w:val="18"/>
        </w:numPr>
        <w:spacing w:lineRule="auto" w:line="276"/>
        <w:rPr/>
      </w:pPr>
      <w:r>
        <w:rPr/>
        <w:t>sanitarnej przez Inspektora Nadzoru w branży sanitarnej,</w:t>
      </w:r>
    </w:p>
    <w:p>
      <w:pPr>
        <w:pStyle w:val="Podstawowy"/>
        <w:numPr>
          <w:ilvl w:val="1"/>
          <w:numId w:val="18"/>
        </w:numPr>
        <w:spacing w:lineRule="auto" w:line="276"/>
        <w:rPr/>
      </w:pPr>
      <w:r>
        <w:rPr/>
        <w:t>elektrycznej przez Inspektora Nadzoru w branży elektrycznej.</w:t>
      </w:r>
    </w:p>
    <w:p>
      <w:pPr>
        <w:pStyle w:val="Normal"/>
        <w:widowControl/>
        <w:numPr>
          <w:ilvl w:val="0"/>
          <w:numId w:val="18"/>
        </w:numPr>
        <w:tabs>
          <w:tab w:val="clear" w:pos="720"/>
        </w:tabs>
        <w:suppressAutoHyphens w:val="true"/>
        <w:bidi w:val="0"/>
        <w:spacing w:lineRule="auto" w:line="276" w:before="0" w:after="160"/>
        <w:jc w:val="both"/>
        <w:rPr/>
      </w:pPr>
      <w:r>
        <w:rPr>
          <w:rFonts w:eastAsia="Calibri" w:cs="Calibri"/>
        </w:rPr>
        <w:t>Zamawiający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wymaga,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aby każdy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z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Inspektorów Nadzoru posiadał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wymagane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prawem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Budowlanym</w:t>
      </w:r>
      <w:r>
        <w:rPr>
          <w:rFonts w:cs="Calibri"/>
          <w:lang w:val="en-US"/>
        </w:rPr>
        <w:t xml:space="preserve">  </w:t>
      </w:r>
      <w:r>
        <w:rPr>
          <w:rFonts w:cs="Calibri"/>
        </w:rPr>
        <w:t>uprawnienia</w:t>
      </w:r>
      <w:r>
        <w:rPr>
          <w:rFonts w:cs="Calibri"/>
          <w:lang w:val="en-US"/>
        </w:rPr>
        <w:t xml:space="preserve"> i </w:t>
      </w:r>
      <w:r>
        <w:rPr>
          <w:rFonts w:cs="Calibri"/>
        </w:rPr>
        <w:t>był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czynnym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członkiem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Izby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Inżynierów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Budownictwa:</w:t>
      </w:r>
    </w:p>
    <w:p>
      <w:pPr>
        <w:pStyle w:val="Normal"/>
        <w:widowControl/>
        <w:numPr>
          <w:ilvl w:val="1"/>
          <w:numId w:val="18"/>
        </w:numPr>
        <w:suppressAutoHyphens w:val="true"/>
        <w:bidi w:val="0"/>
        <w:spacing w:lineRule="auto" w:line="276" w:before="0" w:after="160"/>
        <w:jc w:val="both"/>
        <w:rPr/>
      </w:pPr>
      <w:r>
        <w:rPr/>
        <w:t>Inspektor Nadzoru w branży budowlano – konstrukcyjnej,</w:t>
      </w:r>
      <w:r>
        <w:rPr>
          <w:rFonts w:cs="Calibri"/>
          <w:sz w:val="22"/>
          <w:szCs w:val="22"/>
        </w:rPr>
        <w:t xml:space="preserve"> </w:t>
      </w:r>
      <w:r>
        <w:rPr/>
        <w:t>uprawnienia budowlane                       w specjalności konstrukcyjno – budowlanej do kierowania robotami budowlanymi oraz przynależności do Okręgowej Izby Inżynierów Budownictwa wraz z opłaconymi na bieżąco składkami członkowskimi;</w:t>
      </w:r>
    </w:p>
    <w:p>
      <w:pPr>
        <w:pStyle w:val="Normal"/>
        <w:widowControl/>
        <w:numPr>
          <w:ilvl w:val="1"/>
          <w:numId w:val="18"/>
        </w:numPr>
        <w:tabs>
          <w:tab w:val="clear" w:pos="720"/>
          <w:tab w:val="left" w:pos="627" w:leader="none"/>
        </w:tabs>
        <w:suppressAutoHyphens w:val="true"/>
        <w:bidi w:val="0"/>
        <w:spacing w:lineRule="auto" w:line="276" w:before="0" w:after="160"/>
        <w:jc w:val="both"/>
        <w:rPr/>
      </w:pPr>
      <w:r>
        <w:rPr/>
        <w:t>Inspektor Nadzoru w branży sanitarnej uprawnienia budowlane w specjalności instalacyjnej  w zakresie sieci, instalacji i urządzeń cieplnych, wentylacyjnych, gazowych, wodociągowych i kanalizacyjnych oraz przynależności do Okręgowej Izby Inżynierów Budownictwa wraz z opłaconymi na bieżąco składkami członkowskimi;</w:t>
      </w:r>
    </w:p>
    <w:p>
      <w:pPr>
        <w:pStyle w:val="Normal"/>
        <w:widowControl/>
        <w:numPr>
          <w:ilvl w:val="1"/>
          <w:numId w:val="18"/>
        </w:numPr>
        <w:suppressAutoHyphens w:val="true"/>
        <w:bidi w:val="0"/>
        <w:spacing w:lineRule="auto" w:line="276" w:before="0" w:after="160"/>
        <w:jc w:val="both"/>
        <w:rPr/>
      </w:pPr>
      <w:r>
        <w:rPr/>
        <w:t>Inspektor Nadzoru w branży elektrycznej, uprawnienia budowlane w specjalności instalacyjnej w zakresie sieci, instalacji i urządzeń elektrycznych i elektroenergetycznych oraz przynależności do Okręgowej Izby Inżynierów Budownictwa wraz z opłaconymi na bieżąco składkami członkowskimi.</w:t>
      </w:r>
    </w:p>
    <w:p>
      <w:pPr>
        <w:pStyle w:val="Normal"/>
        <w:widowControl/>
        <w:numPr>
          <w:ilvl w:val="0"/>
          <w:numId w:val="18"/>
        </w:numPr>
        <w:suppressAutoHyphens w:val="true"/>
        <w:bidi w:val="0"/>
        <w:spacing w:lineRule="auto" w:line="276" w:before="0" w:after="160"/>
        <w:jc w:val="both"/>
        <w:rPr/>
      </w:pPr>
      <w:r>
        <w:rPr>
          <w:rFonts w:eastAsia="Calibri" w:cs="Calibri"/>
        </w:rPr>
        <w:t>Zamawiający</w:t>
      </w:r>
      <w:r>
        <w:rPr>
          <w:rFonts w:cs="Calibri"/>
          <w:lang w:val="en-US"/>
        </w:rPr>
        <w:t xml:space="preserve"> </w:t>
      </w:r>
      <w:r>
        <w:rPr>
          <w:rFonts w:cs="Calibri"/>
        </w:rPr>
        <w:t>wymaga z</w:t>
      </w:r>
      <w:r>
        <w:rPr/>
        <w:t xml:space="preserve">atrudnienia do realizacji przedmiotu Umowy przedstawiciela Wykonawcy Nadzoru Inwestorskiego, pełniącego funkcję Koordynatora zespołu inspektorów. Zamawiający dopuszcza łączenie funkcji Koordynatora zespołu inspektorów z funkcją inspektora Nadzoru każdej </w:t>
      </w:r>
      <w:r>
        <w:rPr>
          <w:rFonts w:eastAsia="Calibri" w:cs="" w:cstheme="minorBidi" w:eastAsiaTheme="minorHAnsi"/>
          <w:b w:val="false"/>
          <w:bCs w:val="false"/>
          <w:color w:val="auto"/>
          <w:u w:val="none"/>
          <w:lang w:val="pl-PL" w:eastAsia="en-US" w:bidi="ar-SA"/>
          <w14:ligatures w14:val="standardContextual"/>
        </w:rPr>
        <w:t xml:space="preserve">z </w:t>
      </w:r>
      <w:r>
        <w:rPr/>
        <w:t xml:space="preserve">branż. </w:t>
      </w:r>
    </w:p>
    <w:p>
      <w:pPr>
        <w:pStyle w:val="BodyText"/>
        <w:numPr>
          <w:ilvl w:val="0"/>
          <w:numId w:val="18"/>
        </w:numPr>
        <w:ind w:hanging="360" w:left="624"/>
        <w:jc w:val="both"/>
        <w:rPr>
          <w:sz w:val="22"/>
          <w:szCs w:val="22"/>
        </w:rPr>
      </w:pPr>
      <w:r>
        <w:rPr>
          <w:sz w:val="22"/>
          <w:szCs w:val="22"/>
          <w:u w:val="none"/>
        </w:rPr>
        <w:t xml:space="preserve">Przedmiot Umowy  realizowany  będzie w imieniu i na rzecz Zamawiającego. </w:t>
      </w:r>
      <w:r>
        <w:rPr>
          <w:b w:val="false"/>
          <w:bCs w:val="false"/>
          <w:i w:val="false"/>
          <w:iCs w:val="false"/>
          <w:sz w:val="22"/>
          <w:szCs w:val="22"/>
          <w:u w:val="none"/>
        </w:rPr>
        <w:t>Obowiązki i zadania Wykonawcy Nadzoru Inwestorskiego reguluje Umowa na pełnienie Nadzoru Inwestorskiego.</w:t>
      </w:r>
      <w:r>
        <w:rPr>
          <w:sz w:val="22"/>
          <w:szCs w:val="22"/>
          <w:u w:val="none"/>
        </w:rPr>
        <w:t xml:space="preserve"> </w:t>
      </w:r>
    </w:p>
    <w:p>
      <w:pPr>
        <w:pStyle w:val="Normal"/>
        <w:spacing w:lineRule="auto" w:line="276"/>
        <w:jc w:val="both"/>
        <w:rPr/>
      </w:pPr>
      <w:r>
        <w:rPr>
          <w:rFonts w:cs="Calibri"/>
          <w:b/>
          <w:bCs/>
          <w:i/>
          <w:iCs/>
          <w:sz w:val="24"/>
          <w:szCs w:val="24"/>
        </w:rPr>
        <w:t>2. Termin wykonania usługi.</w:t>
      </w:r>
    </w:p>
    <w:p>
      <w:pPr>
        <w:pStyle w:val="Podstawowy"/>
        <w:numPr>
          <w:ilvl w:val="0"/>
          <w:numId w:val="0"/>
        </w:numPr>
        <w:tabs>
          <w:tab w:val="left" w:pos="286" w:leader="none"/>
          <w:tab w:val="left" w:pos="1365" w:leader="none"/>
        </w:tabs>
        <w:spacing w:lineRule="auto" w:line="276"/>
        <w:ind w:hanging="0" w:left="283"/>
        <w:rPr/>
      </w:pPr>
      <w:r>
        <w:rPr>
          <w:rFonts w:cs="Calibri"/>
          <w:color w:val="000000"/>
        </w:rPr>
        <w:t>Przewidywane terminy wykonania  usługi:</w:t>
      </w:r>
    </w:p>
    <w:p>
      <w:pPr>
        <w:pStyle w:val="Podstawowy"/>
        <w:numPr>
          <w:ilvl w:val="2"/>
          <w:numId w:val="7"/>
        </w:numPr>
        <w:spacing w:lineRule="auto" w:line="276"/>
        <w:ind w:hanging="340" w:left="567"/>
        <w:rPr>
          <w:b w:val="false"/>
          <w:bCs w:val="false"/>
          <w:u w:val="none"/>
        </w:rPr>
      </w:pPr>
      <w:bookmarkStart w:id="3" w:name="_Hlk179953951_kopia_2"/>
      <w:bookmarkEnd w:id="3"/>
      <w:r>
        <w:rPr>
          <w:rFonts w:eastAsia="Calibri" w:cs="Calibri"/>
          <w:b w:val="false"/>
          <w:bCs w:val="false"/>
          <w:u w:val="none"/>
        </w:rPr>
        <w:t xml:space="preserve">Etap I: Zapoznanie się  Wykonawcy Nadzoru Inwestorskiego z zakresem Inwestycji i Dokumentacją Projektową oraz prace organizacyjne, przygotowawcze – </w:t>
      </w:r>
      <w:r>
        <w:rPr>
          <w:rFonts w:eastAsia="Calibri" w:cs="Calibri"/>
          <w:b w:val="false"/>
          <w:bCs w:val="false"/>
          <w:color w:themeColor="text1" w:val="000000"/>
          <w:u w:val="none"/>
        </w:rPr>
        <w:t>od daty podpisania Umowy do daty podpisania Kontraktu z Wykonawcą robót budowlanych (nie dłużej niż 3 miesiące);</w:t>
      </w:r>
    </w:p>
    <w:p>
      <w:pPr>
        <w:pStyle w:val="Podstawowy"/>
        <w:numPr>
          <w:ilvl w:val="2"/>
          <w:numId w:val="7"/>
        </w:numPr>
        <w:spacing w:lineRule="auto" w:line="276"/>
        <w:ind w:hanging="340" w:left="567"/>
        <w:rPr/>
      </w:pPr>
      <w:r>
        <w:rPr>
          <w:rFonts w:eastAsia="Calibri" w:cs="Calibri"/>
          <w:color w:themeColor="text1" w:val="000000"/>
        </w:rPr>
        <w:t xml:space="preserve">Etap II: Nadzór nad robotami budowlanymi – od daty podpisania  Umowy  z Wykonawcą robót budowlanych </w:t>
      </w:r>
      <w:bookmarkStart w:id="4" w:name="_Hlk180402539_kopia_1"/>
      <w:r>
        <w:rPr>
          <w:rFonts w:eastAsia="Calibri" w:cs="Calibri"/>
          <w:color w:themeColor="text1" w:val="000000"/>
        </w:rPr>
        <w:t>do daty Końcowego rozliczenia Inwestycji poprzedzonego podpisaniem bezusterkowego protokołu końcowego  odbioru robót budowlanych</w:t>
      </w:r>
      <w:bookmarkEnd w:id="4"/>
      <w:r>
        <w:rPr>
          <w:rFonts w:eastAsia="Calibri" w:cs="Calibri"/>
          <w:color w:themeColor="text1" w:val="000000"/>
        </w:rPr>
        <w:t>.</w:t>
      </w:r>
    </w:p>
    <w:p>
      <w:pPr>
        <w:pStyle w:val="Podstawowy"/>
        <w:numPr>
          <w:ilvl w:val="2"/>
          <w:numId w:val="7"/>
        </w:numPr>
        <w:spacing w:lineRule="auto" w:line="276"/>
        <w:ind w:hanging="340" w:left="567"/>
        <w:rPr>
          <w:b w:val="false"/>
          <w:bCs w:val="false"/>
        </w:rPr>
      </w:pPr>
      <w:r>
        <w:rPr>
          <w:rFonts w:eastAsia="Calibri" w:cs="Calibri"/>
          <w:b w:val="false"/>
          <w:bCs w:val="false"/>
          <w:color w:themeColor="text1" w:val="000000"/>
        </w:rPr>
        <w:t>Zamawiający określa, iż szacunkowy czas świadczenia Usługi, o której mowa w pkt 2 (Etap II), z zastrzeżeniem ppkt. a i b poniżej, będzie wynosił  6 miesięcy.</w:t>
      </w:r>
    </w:p>
    <w:p>
      <w:pPr>
        <w:pStyle w:val="Podstawowy"/>
        <w:numPr>
          <w:ilvl w:val="6"/>
          <w:numId w:val="7"/>
        </w:numPr>
        <w:spacing w:lineRule="auto" w:line="276"/>
        <w:ind w:hanging="340" w:left="567"/>
        <w:rPr/>
      </w:pPr>
      <w:r>
        <w:rPr>
          <w:rFonts w:eastAsia="Calibri" w:cs="Calibri"/>
          <w:b w:val="false"/>
          <w:bCs w:val="false"/>
          <w:color w:themeColor="text1" w:val="000000"/>
        </w:rPr>
        <w:t>Okres trwania Usługi w ramach Etapu II może zostać przedłużony stosownie do faktycznego czasu wykonywania Inwestycji przez Wykonawcę robót budowlanych. W przypadku przedłużenia okresu realizacji Inwestycji o 1 miesiąc,  Wykonawca Nadzoru Inwestorskiego ma obowiązek świadczyć Usługę w  ramach wynagrodzenia Umownego.</w:t>
      </w:r>
    </w:p>
    <w:p>
      <w:pPr>
        <w:pStyle w:val="Podstawowy"/>
        <w:numPr>
          <w:ilvl w:val="6"/>
          <w:numId w:val="7"/>
        </w:numPr>
        <w:spacing w:lineRule="auto" w:line="276"/>
        <w:ind w:hanging="340" w:left="567"/>
        <w:rPr/>
      </w:pPr>
      <w:r>
        <w:rPr>
          <w:rFonts w:eastAsia="Calibri" w:cs="Calibri"/>
          <w:b w:val="false"/>
          <w:bCs w:val="false"/>
          <w:color w:themeColor="text1" w:val="000000"/>
        </w:rPr>
        <w:t xml:space="preserve">Jeżeli </w:t>
      </w:r>
      <w:r>
        <w:rPr>
          <w:rFonts w:eastAsia="Calibri" w:cs="Calibri"/>
          <w:b w:val="false"/>
          <w:bCs w:val="false"/>
          <w:color w:val="000000"/>
        </w:rPr>
        <w:t xml:space="preserve">okres realizacji Inwestycji w ramach Etapu II przedłuży się powyżej 7 miesiąca jej trwania z przyczyn niezależnych od Wykonawcy Nadzoru Inwestorskiego, każdy dodatkowy miesiąc świadczenia Usługi przez Wykonawcę Nadzoru Inwestorskiego będzie płatny w wysokości miesięcznej kwoty wynagrodzenia (1/6) określonej </w:t>
      </w:r>
      <w:r>
        <w:rPr>
          <w:rFonts w:eastAsia="Calibri" w:cs="Calibri"/>
          <w:b w:val="false"/>
          <w:bCs w:val="false"/>
          <w:color w:themeColor="text1" w:val="000000"/>
        </w:rPr>
        <w:t>za realizację Etapu II przedmiotu Umowy.</w:t>
      </w:r>
    </w:p>
    <w:p>
      <w:pPr>
        <w:pStyle w:val="Podstawowy"/>
        <w:numPr>
          <w:ilvl w:val="2"/>
          <w:numId w:val="7"/>
        </w:numPr>
        <w:spacing w:lineRule="auto" w:line="276"/>
        <w:ind w:hanging="340" w:left="567"/>
        <w:rPr/>
      </w:pPr>
      <w:r>
        <w:rPr>
          <w:rFonts w:eastAsia="Calibri" w:cs="Calibri"/>
          <w:b w:val="false"/>
          <w:bCs w:val="false"/>
          <w:color w:themeColor="text1" w:val="000000"/>
        </w:rPr>
        <w:t>Potwierdzeniem realizacji Etapu I przedmiotu zamówienia będzie wydana opinia przez Wykonawcę Nadzoru Inwestorskiego  w zakresie  oceny  Dokumentacji  Projektowej i wydanie oświadczenia, że na jej podstawie można rozpocząć realizację Inwestycji – Raport  początkowy.</w:t>
      </w:r>
    </w:p>
    <w:p>
      <w:pPr>
        <w:pStyle w:val="Podstawowy"/>
        <w:numPr>
          <w:ilvl w:val="2"/>
          <w:numId w:val="7"/>
        </w:numPr>
        <w:spacing w:lineRule="auto" w:line="276"/>
        <w:ind w:hanging="340" w:left="567"/>
        <w:rPr>
          <w:rFonts w:eastAsia="Calibri" w:cs="Calibri"/>
          <w:b w:val="false"/>
          <w:bCs w:val="false"/>
          <w:color w:themeColor="text1" w:val="000000"/>
        </w:rPr>
      </w:pPr>
      <w:r>
        <w:rPr>
          <w:rFonts w:eastAsia="Calibri" w:cs="Calibri"/>
          <w:b w:val="false"/>
          <w:bCs w:val="false"/>
          <w:color w:themeColor="text1" w:val="000000"/>
        </w:rPr>
        <w:t>Potwierdzeniem r</w:t>
      </w:r>
      <w:r>
        <w:rPr>
          <w:rFonts w:eastAsia="Calibri" w:cs="Calibri" w:cstheme="minorHAnsi"/>
          <w:b w:val="false"/>
          <w:bCs w:val="false"/>
          <w:color w:themeColor="text1" w:val="000000"/>
          <w:lang w:bidi="he-IL"/>
        </w:rPr>
        <w:t xml:space="preserve">ealizacji Etapu II przedmiotu zamówienia będzie końcowe rozliczenie inwestycji poprzedzone podpisaniem protokołu odbioru końcowego bez wad istotnych – Raport  końcowy. </w:t>
      </w:r>
    </w:p>
    <w:p>
      <w:pPr>
        <w:pStyle w:val="Normal"/>
        <w:spacing w:lineRule="auto" w:line="276" w:before="114" w:after="114"/>
        <w:ind w:left="340"/>
        <w:jc w:val="both"/>
        <w:rPr>
          <w:i/>
          <w:i/>
          <w:iCs/>
        </w:rPr>
      </w:pPr>
      <w:r>
        <w:rPr>
          <w:b/>
          <w:bCs/>
          <w:i/>
          <w:iCs/>
        </w:rPr>
        <w:t>3.  Pozostałe informacje.</w:t>
      </w:r>
    </w:p>
    <w:p>
      <w:pPr>
        <w:pStyle w:val="Normal"/>
        <w:numPr>
          <w:ilvl w:val="0"/>
          <w:numId w:val="4"/>
        </w:numPr>
        <w:tabs>
          <w:tab w:val="clear" w:pos="720"/>
          <w:tab w:val="left" w:pos="1361" w:leader="none"/>
          <w:tab w:val="left" w:pos="1414" w:leader="none"/>
        </w:tabs>
        <w:spacing w:lineRule="auto" w:line="276"/>
        <w:jc w:val="both"/>
        <w:rPr/>
      </w:pPr>
      <w:r>
        <w:rPr>
          <w:rFonts w:cs="Calibri"/>
        </w:rPr>
        <w:t>Roboty nie podlegają pozwoleniu na budowę. Wykonawca robót budowlanych uzyska odpowiednie opinie, uzgodnienia czy decyzje, jeżeli takie będą wymagane w świetle obowiązujących przepisów  prawa.</w:t>
      </w:r>
    </w:p>
    <w:p>
      <w:pPr>
        <w:pStyle w:val="Normal"/>
        <w:numPr>
          <w:ilvl w:val="0"/>
          <w:numId w:val="4"/>
        </w:numPr>
        <w:tabs>
          <w:tab w:val="clear" w:pos="720"/>
          <w:tab w:val="left" w:pos="1140" w:leader="none"/>
        </w:tabs>
        <w:spacing w:lineRule="auto" w:line="276"/>
        <w:jc w:val="both"/>
        <w:rPr/>
      </w:pPr>
      <w:r>
        <w:rPr>
          <w:rFonts w:cs="Calibri"/>
        </w:rPr>
        <w:t>Oferta powinna być kompletna z punktu widzenia celu, któremu ma służyć oraz spełniać obowiązujące przepisy Prawa Budowlanego, przepisy techniczno – budowlane, przepisy powiązane i normy.</w:t>
      </w:r>
    </w:p>
    <w:p>
      <w:pPr>
        <w:pStyle w:val="Normal"/>
        <w:numPr>
          <w:ilvl w:val="0"/>
          <w:numId w:val="4"/>
        </w:numPr>
        <w:tabs>
          <w:tab w:val="clear" w:pos="720"/>
          <w:tab w:val="left" w:pos="1361" w:leader="none"/>
          <w:tab w:val="left" w:pos="1414" w:leader="none"/>
        </w:tabs>
        <w:spacing w:lineRule="auto" w:line="276"/>
        <w:jc w:val="both"/>
        <w:rPr>
          <w:u w:val="none"/>
        </w:rPr>
      </w:pPr>
      <w:r>
        <w:rPr>
          <w:rFonts w:cs="Calibri"/>
          <w:u w:val="none"/>
        </w:rPr>
        <w:t>Zamawiający wymaga od Wykonawcy oświadczenia, że posiada uprawnienia do wykonywania działalności objętej przedmiotem zamówienia, dysponuje potencjałem technicznym i osobowym umożliwiającym realizację zamówienia, w tym inspektorami nadzoru poszczególnych branż oraz, że znajduje się w sytuacji ekonomicznej i finansowej umożliwiającej wykonanie zamówienia.</w:t>
      </w:r>
    </w:p>
    <w:p>
      <w:pPr>
        <w:pStyle w:val="BodyText"/>
        <w:numPr>
          <w:ilvl w:val="0"/>
          <w:numId w:val="4"/>
        </w:numPr>
        <w:jc w:val="both"/>
        <w:rPr/>
      </w:pPr>
      <w:r>
        <w:rPr>
          <w:rFonts w:cs="Calibri"/>
          <w:sz w:val="22"/>
          <w:szCs w:val="22"/>
        </w:rPr>
        <w:t xml:space="preserve">Zamawiający informuje, że parking znajdujący się na ternie Szpitala jest płatny, </w:t>
      </w:r>
      <w:r>
        <w:rPr>
          <w:rFonts w:cs="Calibri" w:ascii="Calibri;sans-serif" w:hAnsi="Calibri;sans-serif"/>
          <w:b w:val="false"/>
          <w:i w:val="false"/>
          <w:caps w:val="false"/>
          <w:smallCaps w:val="false"/>
          <w:color w:val="212121"/>
          <w:spacing w:val="0"/>
          <w:sz w:val="22"/>
          <w:szCs w:val="22"/>
        </w:rPr>
        <w:t xml:space="preserve">Wykonawca ma możliwość zakupu do 5 kart w cenie 30,00 PLN za sztukę jest to opłata jednorazowa. Cena  miesięcznego abonamentu dla jednej karty wynosi brutto 150,00 PLN. </w:t>
      </w:r>
      <w:r>
        <w:rPr>
          <w:rFonts w:cs="Calibri" w:ascii="Calibri;Arial;Helvetica;sans-serif" w:hAnsi="Calibri;Arial;Helvetica;sans-serif"/>
          <w:b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Powyżej 5 kart obowiązują zasady ogólne zgodnie z regulaminem parkingu. </w:t>
      </w:r>
      <w:r>
        <w:rPr>
          <w:rFonts w:cs="Calibri" w:ascii="Calibri;sans-serif" w:hAnsi="Calibri;sans-serif"/>
          <w:b w:val="false"/>
          <w:i w:val="false"/>
          <w:caps w:val="false"/>
          <w:smallCaps w:val="false"/>
          <w:color w:val="212121"/>
          <w:spacing w:val="0"/>
          <w:sz w:val="22"/>
          <w:szCs w:val="22"/>
        </w:rPr>
        <w:t xml:space="preserve">Cennik udostępniony jest na stronie internetowej Szpitala w linku NASZ SZPITAL - Odpłatny parking.   </w:t>
      </w:r>
    </w:p>
    <w:p>
      <w:pPr>
        <w:pStyle w:val="Normal"/>
        <w:numPr>
          <w:ilvl w:val="0"/>
          <w:numId w:val="4"/>
        </w:numPr>
        <w:tabs>
          <w:tab w:val="clear" w:pos="720"/>
          <w:tab w:val="left" w:pos="1140" w:leader="none"/>
        </w:tabs>
        <w:spacing w:lineRule="auto" w:line="276"/>
        <w:jc w:val="both"/>
        <w:rPr/>
      </w:pPr>
      <w:r>
        <w:rPr>
          <w:rFonts w:cs="Calibri"/>
        </w:rPr>
        <w:t>Cena ofertowa musi uwzględniać wszystkie koszty i opłaty towarzyszące związane                          z realizacją przedmiotu zamówienia.</w:t>
      </w:r>
    </w:p>
    <w:p>
      <w:pPr>
        <w:pStyle w:val="Normal"/>
        <w:widowControl w:val="false"/>
        <w:numPr>
          <w:ilvl w:val="0"/>
          <w:numId w:val="4"/>
        </w:numPr>
        <w:tabs>
          <w:tab w:val="clear" w:pos="720"/>
          <w:tab w:val="left" w:pos="1140" w:leader="none"/>
        </w:tabs>
        <w:spacing w:lineRule="auto" w:line="276"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Zamawiający  umożliwia dokonanie wizji lokalnej miejsca realizacji prac, aby uzyskać informacje, które mogą być przydatne do przygotowania oferty celem zawarcia umowy i wykonania zamówienia. Koszty dokonania wizji lokalnej poniesie Wykonawca.</w:t>
      </w:r>
    </w:p>
    <w:p>
      <w:pPr>
        <w:pStyle w:val="Normal"/>
        <w:widowControl/>
        <w:numPr>
          <w:ilvl w:val="0"/>
          <w:numId w:val="0"/>
        </w:numPr>
        <w:suppressAutoHyphens w:val="true"/>
        <w:bidi w:val="0"/>
        <w:spacing w:lineRule="auto" w:line="276" w:before="0" w:after="140"/>
        <w:ind w:hanging="0" w:left="624"/>
        <w:jc w:val="both"/>
        <w:rPr/>
      </w:pPr>
      <w:r>
        <w:rPr/>
      </w:r>
    </w:p>
    <w:p>
      <w:pPr>
        <w:pStyle w:val="BodyText"/>
        <w:jc w:val="center"/>
        <w:rPr/>
      </w:pPr>
      <w:r>
        <w:rPr>
          <w:b/>
          <w:bCs/>
          <w:color w:val="3465A4"/>
          <w:sz w:val="24"/>
          <w:szCs w:val="24"/>
        </w:rPr>
        <w:t xml:space="preserve"> </w:t>
      </w:r>
      <w:r>
        <w:rPr>
          <w:b/>
          <w:bCs/>
          <w:color w:val="3465A4"/>
          <w:sz w:val="24"/>
          <w:szCs w:val="24"/>
        </w:rPr>
        <w:t xml:space="preserve">IV INFORMACJE OGÓLNE DOTYCZĄCE REALIZACJI INWESTYCJI                                                 BĘDĄCEJ PRZEDMIOTEM NADZORU INWESTORSKIEGO 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425"/>
        <w:rPr/>
      </w:pPr>
      <w:r>
        <w:rPr>
          <w:rFonts w:eastAsia="Calibri" w:cs="Calibri" w:eastAsiaTheme="minorHAnsi"/>
          <w:b/>
          <w:bCs/>
          <w:lang w:eastAsia="en-US"/>
          <w14:ligatures w14:val="standardContextual"/>
        </w:rPr>
        <w:t xml:space="preserve">     </w:t>
      </w:r>
      <w:r>
        <w:rPr>
          <w:rFonts w:eastAsia="Calibri" w:cs="Calibri" w:eastAsiaTheme="minorHAnsi"/>
          <w:lang w:eastAsia="en-US"/>
          <w14:ligatures w14:val="standardContextual"/>
        </w:rPr>
        <w:t xml:space="preserve"> </w:t>
      </w:r>
      <w:r>
        <w:rPr>
          <w:rFonts w:eastAsia="Calibri" w:cs="Calibri" w:eastAsiaTheme="minorHAnsi"/>
          <w:lang w:eastAsia="en-US"/>
          <w14:ligatures w14:val="standardContextual"/>
        </w:rPr>
        <w:t>Prace budowlane realizowane b</w:t>
      </w:r>
      <w:r>
        <w:rPr>
          <w:rFonts w:eastAsia="Arial" w:cs="Calibri"/>
          <w:lang w:eastAsia="en-US"/>
          <w14:ligatures w14:val="standardContextual"/>
        </w:rPr>
        <w:t>ę</w:t>
      </w:r>
      <w:r>
        <w:rPr>
          <w:rFonts w:eastAsia="Calibri" w:cs="Calibri" w:eastAsiaTheme="minorHAnsi"/>
          <w:lang w:eastAsia="en-US"/>
          <w14:ligatures w14:val="standardContextual"/>
        </w:rPr>
        <w:t>dą na terenie, który stanowi integralną część infrastruktury</w:t>
      </w:r>
      <w:r>
        <w:rPr>
          <w:rFonts w:eastAsia="Arial" w:cs="Calibri"/>
          <w:lang w:eastAsia="en-US"/>
          <w14:ligatures w14:val="standardContextual"/>
        </w:rPr>
        <w:t xml:space="preserve"> czynnego S</w:t>
      </w:r>
      <w:r>
        <w:rPr>
          <w:rFonts w:eastAsia="Calibri" w:cs="Calibri" w:eastAsiaTheme="minorHAnsi"/>
          <w:lang w:eastAsia="en-US"/>
          <w14:ligatures w14:val="standardContextual"/>
        </w:rPr>
        <w:t xml:space="preserve">zpitala </w:t>
      </w:r>
      <w:r>
        <w:rPr>
          <w:rFonts w:eastAsia="Calibri" w:cs="Arial"/>
          <w:lang w:eastAsia="en-US"/>
        </w:rPr>
        <w:t xml:space="preserve">gdzie prowadzona jest działalność lecznicza, </w:t>
      </w:r>
      <w:r>
        <w:rPr>
          <w:rFonts w:eastAsia="Calibri" w:cs="Calibri" w:eastAsiaTheme="minorHAnsi"/>
          <w:lang w:eastAsia="en-US"/>
          <w14:ligatures w14:val="standardContextual"/>
        </w:rPr>
        <w:t>z uwagi na co koniecznym jest, aby wykonywanie robót budowlanych nie kolidowało z bież</w:t>
      </w:r>
      <w:r>
        <w:rPr>
          <w:rFonts w:eastAsia="Arial" w:cs="Calibri"/>
          <w:lang w:eastAsia="en-US"/>
          <w14:ligatures w14:val="standardContextual"/>
        </w:rPr>
        <w:t>ą</w:t>
      </w:r>
      <w:r>
        <w:rPr>
          <w:rFonts w:eastAsia="Calibri" w:cs="Calibri" w:eastAsiaTheme="minorHAnsi"/>
          <w:lang w:eastAsia="en-US"/>
          <w14:ligatures w14:val="standardContextual"/>
        </w:rPr>
        <w:t>cym funkcjonowaniem</w:t>
      </w:r>
      <w:r>
        <w:rPr>
          <w:rFonts w:eastAsia="Arial" w:cs="Calibri"/>
          <w:lang w:eastAsia="en-US"/>
          <w14:ligatures w14:val="standardContextual"/>
        </w:rPr>
        <w:t xml:space="preserve"> S</w:t>
      </w:r>
      <w:r>
        <w:rPr>
          <w:rFonts w:eastAsia="Calibri" w:cs="Calibri" w:eastAsiaTheme="minorHAnsi"/>
          <w:lang w:eastAsia="en-US"/>
          <w14:ligatures w14:val="standardContextual"/>
        </w:rPr>
        <w:t>zpitala                               i z istniej</w:t>
      </w:r>
      <w:r>
        <w:rPr>
          <w:rFonts w:eastAsia="Arial" w:cs="Calibri"/>
          <w:lang w:eastAsia="en-US"/>
          <w14:ligatures w14:val="standardContextual"/>
        </w:rPr>
        <w:t>ą</w:t>
      </w:r>
      <w:r>
        <w:rPr>
          <w:rFonts w:eastAsia="Calibri" w:cs="Calibri" w:eastAsiaTheme="minorHAnsi"/>
          <w:lang w:eastAsia="en-US"/>
          <w14:ligatures w14:val="standardContextual"/>
        </w:rPr>
        <w:t>c</w:t>
      </w:r>
      <w:r>
        <w:rPr>
          <w:rFonts w:eastAsia="Arial" w:cs="Calibri"/>
          <w:lang w:eastAsia="en-US"/>
          <w14:ligatures w14:val="standardContextual"/>
        </w:rPr>
        <w:t xml:space="preserve">ą </w:t>
      </w:r>
      <w:r>
        <w:rPr>
          <w:rFonts w:eastAsia="Calibri" w:cs="Calibri" w:eastAsiaTheme="minorHAnsi"/>
          <w:lang w:eastAsia="en-US"/>
          <w14:ligatures w14:val="standardContextual"/>
        </w:rPr>
        <w:t>infrastruktur</w:t>
      </w:r>
      <w:r>
        <w:rPr>
          <w:rFonts w:eastAsia="Arial" w:cs="Calibri"/>
          <w:lang w:eastAsia="en-US"/>
          <w14:ligatures w14:val="standardContextual"/>
        </w:rPr>
        <w:t>ą</w:t>
      </w:r>
      <w:r>
        <w:rPr>
          <w:rFonts w:eastAsia="Calibri" w:cs="Calibri" w:eastAsiaTheme="minorHAnsi"/>
          <w:lang w:eastAsia="en-US"/>
          <w14:ligatures w14:val="standardContextual"/>
        </w:rPr>
        <w:t xml:space="preserve">. </w:t>
      </w:r>
      <w:r>
        <w:rPr>
          <w:rFonts w:eastAsia="Calibri" w:cs="Arial"/>
          <w:lang w:eastAsia="en-US"/>
        </w:rPr>
        <w:t xml:space="preserve">Wszelkie działania wykonawcy robót budowlanych mające wpływ            na bieżące funkcjonowanie obiektu muszą być na bieżąco uzgadniane z Zamawiającym, dotyczy            to w szczególności wyłączeń energii elektrycznej i wody. Prace związane z dużym hałasem (wyburzenia, skuwanie, itp.) muszą być wykonywane w taki sposób, aby maksymalnie zminimalizować ich uciążliwość i nie mogą być wykonywane w godzinach nocnych </w:t>
      </w:r>
      <w:r>
        <w:rPr>
          <w:rFonts w:eastAsia="Calibri" w:cs="Arial"/>
          <w:color w:val="000000"/>
          <w:lang w:eastAsia="en-US"/>
        </w:rPr>
        <w:t>tj. od 22</w:t>
      </w:r>
      <w:r>
        <w:rPr>
          <w:rFonts w:eastAsia="SimSun" w:cs="Arial"/>
          <w:color w:val="000000"/>
          <w:lang w:eastAsia="en-US"/>
        </w:rPr>
        <w:t>°°</w:t>
      </w:r>
      <w:r>
        <w:rPr>
          <w:rFonts w:eastAsia="Calibri" w:cs="Arial"/>
          <w:color w:val="000000"/>
          <w:lang w:eastAsia="en-US"/>
        </w:rPr>
        <w:t xml:space="preserve"> do 6</w:t>
      </w:r>
      <w:r>
        <w:rPr>
          <w:rFonts w:eastAsia="SimSun" w:cs="Arial"/>
          <w:color w:val="000000"/>
          <w:lang w:eastAsia="en-US"/>
        </w:rPr>
        <w:t>°° oraz w dni wolne od pracy</w:t>
      </w:r>
      <w:r>
        <w:rPr>
          <w:rFonts w:eastAsia="Calibri" w:cs="Arial"/>
          <w:color w:val="000000"/>
          <w:lang w:eastAsia="en-US"/>
        </w:rPr>
        <w:t xml:space="preserve">. </w:t>
      </w:r>
      <w:r>
        <w:rPr>
          <w:rFonts w:eastAsia="Calibri" w:cs="Arial"/>
          <w:lang w:eastAsia="en-US"/>
        </w:rPr>
        <w:t xml:space="preserve">W czasie prowadzenia prac drogi komunikacyjne w obrębie Szpitala muszą być wolne od przeszkód, odpowiednio zabezpieczone, a także na bieżąco sprzątane. 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0"/>
        <w:rPr/>
      </w:pPr>
      <w:r>
        <w:rPr>
          <w:b/>
          <w:bCs/>
          <w:i/>
          <w:iCs/>
          <w:sz w:val="24"/>
          <w:szCs w:val="24"/>
        </w:rPr>
        <w:t>1.  Terminy realizacji zamówienia przez Wykonawcę robót budowlanych.</w:t>
      </w:r>
    </w:p>
    <w:p>
      <w:pPr>
        <w:pStyle w:val="Normal"/>
        <w:numPr>
          <w:ilvl w:val="0"/>
          <w:numId w:val="16"/>
        </w:numPr>
        <w:spacing w:lineRule="auto" w:line="276"/>
        <w:jc w:val="both"/>
        <w:rPr/>
      </w:pPr>
      <w:r>
        <w:rPr/>
        <w:t xml:space="preserve">Wykonawca robót budowlanych zobowiązany jest odebrać teren budowy, (plac budowy)                 w terminie 7 dni od dnia zawarcia Umowy, na podstawie protokołu przekazania placu budowy. </w:t>
      </w:r>
    </w:p>
    <w:p>
      <w:pPr>
        <w:pStyle w:val="Normal"/>
        <w:numPr>
          <w:ilvl w:val="0"/>
          <w:numId w:val="16"/>
        </w:numPr>
        <w:spacing w:lineRule="auto" w:line="276"/>
        <w:jc w:val="both"/>
        <w:rPr/>
      </w:pPr>
      <w:r>
        <w:rPr/>
        <w:t xml:space="preserve">Rozpoczęcie robót budowlanych nastąpi nie później niż w terminie 7 dni od dnia odbioru terenu budowy. </w:t>
      </w:r>
    </w:p>
    <w:p>
      <w:pPr>
        <w:pStyle w:val="Normal"/>
        <w:numPr>
          <w:ilvl w:val="0"/>
          <w:numId w:val="16"/>
        </w:numPr>
        <w:spacing w:lineRule="auto" w:line="276"/>
        <w:jc w:val="both"/>
        <w:rPr/>
      </w:pPr>
      <w:r>
        <w:rPr/>
        <w:t xml:space="preserve">Zakończenie realizacji całości przedmiotu Umowy nastąpi w terminie </w:t>
      </w:r>
      <w:r>
        <w:rPr>
          <w:b/>
          <w:bCs/>
        </w:rPr>
        <w:t>5 miesięcy</w:t>
      </w:r>
      <w:r>
        <w:rPr/>
        <w:t xml:space="preserve"> od dnia zawarcia Umowy. </w:t>
      </w:r>
    </w:p>
    <w:p>
      <w:pPr>
        <w:pStyle w:val="Normal"/>
        <w:numPr>
          <w:ilvl w:val="0"/>
          <w:numId w:val="16"/>
        </w:numPr>
        <w:spacing w:lineRule="auto" w:line="276"/>
        <w:jc w:val="both"/>
        <w:rPr/>
      </w:pPr>
      <w:r>
        <w:rPr/>
        <w:t>Udzielona gwarancja stanowi Kryterium nr 2 oceny ofert. Termin udzielonej gwarancji będzie wynikał ze złożonej oferty przez Wykonawcę robót budowlanych. Minimalna udzielona gwarancja to 36 miesięcy (3 lata).</w:t>
      </w:r>
    </w:p>
    <w:p>
      <w:pPr>
        <w:pStyle w:val="Normal"/>
        <w:numPr>
          <w:ilvl w:val="0"/>
          <w:numId w:val="16"/>
        </w:numPr>
        <w:spacing w:lineRule="auto" w:line="276"/>
        <w:jc w:val="both"/>
        <w:rPr/>
      </w:pPr>
      <w:r>
        <w:rPr/>
        <w:t>Realizacja Przedmiotu Umowy będzie przebiegała zgodnie ze szczegółowymi terminami, przewidzianymi w Harmonogramie Rzeczowo – Finansowym (HRF).</w:t>
      </w:r>
    </w:p>
    <w:p>
      <w:pPr>
        <w:pStyle w:val="Heading3"/>
        <w:numPr>
          <w:ilvl w:val="0"/>
          <w:numId w:val="0"/>
        </w:numPr>
        <w:tabs>
          <w:tab w:val="clear" w:pos="720"/>
          <w:tab w:val="left" w:pos="109" w:leader="none"/>
        </w:tabs>
        <w:spacing w:lineRule="auto" w:line="276"/>
        <w:ind w:hanging="0" w:left="113" w:right="0"/>
        <w:rPr/>
      </w:pPr>
      <w:r>
        <w:rPr>
          <w:rFonts w:eastAsia="Calibri" w:ascii="Calibri" w:hAnsi="Calibri"/>
          <w:i/>
          <w:iCs/>
          <w:sz w:val="22"/>
          <w:szCs w:val="22"/>
          <w:lang w:eastAsia="en-US" w:bidi="ar-SA"/>
        </w:rPr>
        <w:t>2</w:t>
      </w:r>
      <w:r>
        <w:rPr>
          <w:rFonts w:ascii="Calibri" w:hAnsi="Calibri"/>
          <w:i/>
          <w:iCs/>
          <w:sz w:val="22"/>
          <w:szCs w:val="22"/>
        </w:rPr>
        <w:t xml:space="preserve">. </w:t>
      </w:r>
      <w:bookmarkStart w:id="5" w:name="_Toc94801283_kopia_1"/>
      <w:r>
        <w:rPr>
          <w:rFonts w:ascii="Calibri" w:hAnsi="Calibri"/>
          <w:i/>
          <w:iCs/>
          <w:sz w:val="22"/>
          <w:szCs w:val="22"/>
        </w:rPr>
        <w:t>Harmonogram</w:t>
      </w:r>
      <w:bookmarkEnd w:id="5"/>
      <w:r>
        <w:rPr>
          <w:rFonts w:ascii="Calibri" w:hAnsi="Calibri"/>
          <w:i/>
          <w:iCs/>
          <w:sz w:val="22"/>
          <w:szCs w:val="22"/>
        </w:rPr>
        <w:t xml:space="preserve"> Robót Budowlanych.</w:t>
      </w:r>
    </w:p>
    <w:p>
      <w:pPr>
        <w:pStyle w:val="Normal"/>
        <w:numPr>
          <w:ilvl w:val="0"/>
          <w:numId w:val="15"/>
        </w:numPr>
        <w:spacing w:lineRule="auto" w:line="276"/>
        <w:jc w:val="both"/>
        <w:rPr>
          <w:b w:val="false"/>
          <w:bCs w:val="false"/>
        </w:rPr>
      </w:pPr>
      <w:r>
        <w:rPr>
          <w:rFonts w:eastAsia="Arial Unicode MS" w:cs="Calibri"/>
          <w:b w:val="false"/>
          <w:bCs w:val="false"/>
          <w:lang w:eastAsia="pl-PL" w:bidi="he-IL"/>
        </w:rPr>
        <w:t>Wykonawca robót budowlanych jest zobowiązany do opracowania i dostarczenia Zamawiającemu szczegółowego HRF, nie później niż 7 dni roboczych po podpisaniu Umowy, jak również do jego aktualizacji na żądanie Zamawiającego w terminie 3 dni roboczych, od dnia otrzymania takiego żądania. Niezależnie od powyższego, każdorazowo w przypadku zaistnienia okoliczności powodujących potrzebę zmiany HRF, Wykonawca robót budowlanych  zobowiązany jest do sporządzenia takiej aktualizacji i przedstawienia jej Zamawiającemu do zatwierdzenia</w:t>
      </w:r>
      <w:r>
        <w:rPr>
          <w:rFonts w:eastAsia="Cambria" w:cs="Calibri"/>
          <w:b w:val="false"/>
          <w:bCs w:val="false"/>
          <w:lang w:eastAsia="ar-SA" w:bidi="he-IL"/>
        </w:rPr>
        <w:t xml:space="preserve">. </w:t>
      </w:r>
      <w:r>
        <w:rPr>
          <w:rFonts w:eastAsia="Times New Roman" w:cs="Calibri"/>
          <w:b w:val="false"/>
          <w:bCs w:val="false"/>
          <w:lang w:eastAsia="pl-PL"/>
        </w:rPr>
        <w:t>Zamawiający zatwierdzi HRF, w ciągu 5 dni roboczych od daty przedłożenia HRF do zatwierdzenia lub w tym terminie zgłosi do niego uwagi ze wskazaniem w ich uzasadnieniu na wymagania realizacyjne opisane w  Dokumentacji projektowej lub Umowie. Wykonawca robót budowlanych będzie zobowiązany do uwzględnienia tych uwag i przedłożenia Zamawiającemu poprawionego HRF w terminie 3 dni roboczych od daty otrzymania zgłoszonych przez Zamawiającego uwag. Procedura zatwierdzania HRF przez Zamawiającego stosowana jest odpowiednio do każdej jego aktualizacji.</w:t>
      </w:r>
    </w:p>
    <w:p>
      <w:pPr>
        <w:pStyle w:val="Normal"/>
        <w:numPr>
          <w:ilvl w:val="0"/>
          <w:numId w:val="15"/>
        </w:numPr>
        <w:spacing w:lineRule="auto" w:line="276"/>
        <w:jc w:val="both"/>
        <w:rPr/>
      </w:pPr>
      <w:r>
        <w:rPr/>
        <w:t xml:space="preserve">Harmonogram musi uwzględniać niezbędne terminy na akceptację przez Zamawiającego. </w:t>
      </w:r>
      <w:r>
        <w:rPr>
          <w:rFonts w:eastAsia="Calibri" w:cs="Calibri"/>
          <w:color w:themeColor="text1" w:val="000000"/>
        </w:rPr>
        <w:t>Akceptacja dokumentu przez Zamawiającego nie zwalnia Wykonawcy robót budowlanych             z konieczności jego aktualizacji w  przypadku zasadności uzupełnienia, o którym decyduje Zamawiający.</w:t>
      </w:r>
    </w:p>
    <w:p>
      <w:pPr>
        <w:pStyle w:val="Normal"/>
        <w:numPr>
          <w:ilvl w:val="0"/>
          <w:numId w:val="15"/>
        </w:numPr>
        <w:spacing w:lineRule="auto" w:line="276"/>
        <w:jc w:val="both"/>
        <w:rPr/>
      </w:pPr>
      <w:r>
        <w:rPr>
          <w:rFonts w:eastAsia="Calibri" w:cs="Calibri"/>
          <w:color w:themeColor="text1" w:val="000000"/>
        </w:rPr>
        <w:t xml:space="preserve">Harmonogram musi zawierać realne terminy, nie może przekraczać terminów, które wynikają  z HRF. Przyjęty dokument będzie stanowił podstawę do kontrolowania zaawansowania prac    w stosunku do upływającego terminu. </w:t>
      </w:r>
    </w:p>
    <w:p>
      <w:pPr>
        <w:pStyle w:val="Normal"/>
        <w:numPr>
          <w:ilvl w:val="0"/>
          <w:numId w:val="15"/>
        </w:numPr>
        <w:spacing w:lineRule="auto" w:line="276"/>
        <w:jc w:val="both"/>
        <w:rPr/>
      </w:pPr>
      <w:r>
        <w:rPr>
          <w:rFonts w:eastAsia="Calibri" w:cs="Calibri"/>
          <w:color w:themeColor="text1" w:val="000000"/>
        </w:rPr>
        <w:t xml:space="preserve">Wykonawca robót budowlanych jest zobowiązany  przygotowywać </w:t>
      </w:r>
      <w:r>
        <w:rPr>
          <w:lang w:eastAsia="pl-PL" w:bidi="he-IL"/>
        </w:rPr>
        <w:t>raporty miesięczne na podstawie przyjętego harmonogramu w czasie przeszłym i w ramach planowania prac                       i  wykonanych robót budowlanych w ramach efektywnego postępu pracy.</w:t>
      </w:r>
    </w:p>
    <w:p>
      <w:pPr>
        <w:pStyle w:val="Normal"/>
        <w:numPr>
          <w:ilvl w:val="0"/>
          <w:numId w:val="15"/>
        </w:numPr>
        <w:spacing w:lineRule="auto" w:line="276"/>
        <w:jc w:val="both"/>
        <w:rPr/>
      </w:pPr>
      <w:r>
        <w:rPr/>
        <w:t>W przypadku wystąpienia konieczności wykonania robót zamiennych, zamówień uzupełniających lub zamówień dodatkowych, Wykonawca robót budowlanych zobowiązany jest w pierwszej kolejności do sporządzenia nowego harmonogramu, który realnie określi terminy zadania.</w:t>
      </w:r>
    </w:p>
    <w:p>
      <w:pPr>
        <w:pStyle w:val="Normal"/>
        <w:numPr>
          <w:ilvl w:val="0"/>
          <w:numId w:val="15"/>
        </w:numPr>
        <w:spacing w:lineRule="auto" w:line="276"/>
        <w:jc w:val="both"/>
        <w:rPr/>
      </w:pPr>
      <w:r>
        <w:rPr/>
        <w:t>Harmonogram musi być narzędziem do weryfikowania postępu prac i musi być każdorazowo omawiany na naradach technicznych.</w:t>
      </w:r>
    </w:p>
    <w:p>
      <w:pPr>
        <w:pStyle w:val="Heading3"/>
        <w:numPr>
          <w:ilvl w:val="0"/>
          <w:numId w:val="0"/>
        </w:numPr>
        <w:spacing w:lineRule="auto" w:line="276"/>
        <w:ind w:hanging="0" w:left="0" w:right="0"/>
        <w:rPr/>
      </w:pPr>
      <w:r>
        <w:rPr>
          <w:rFonts w:ascii="Calibri" w:hAnsi="Calibri"/>
          <w:i/>
          <w:iCs/>
          <w:sz w:val="24"/>
          <w:szCs w:val="24"/>
        </w:rPr>
        <w:t xml:space="preserve">3. </w:t>
      </w:r>
      <w:bookmarkStart w:id="6" w:name="_Toc94801284"/>
      <w:r>
        <w:rPr>
          <w:rFonts w:ascii="Calibri" w:hAnsi="Calibri"/>
          <w:i/>
          <w:iCs/>
          <w:sz w:val="24"/>
          <w:szCs w:val="24"/>
        </w:rPr>
        <w:t>Spotkania i Narady</w:t>
      </w:r>
      <w:bookmarkEnd w:id="6"/>
      <w:r>
        <w:rPr>
          <w:rFonts w:ascii="Calibri" w:hAnsi="Calibri"/>
          <w:i/>
          <w:iCs/>
          <w:sz w:val="24"/>
          <w:szCs w:val="24"/>
        </w:rPr>
        <w:t>.</w:t>
      </w:r>
    </w:p>
    <w:p>
      <w:pPr>
        <w:pStyle w:val="Podstawowy"/>
        <w:numPr>
          <w:ilvl w:val="0"/>
          <w:numId w:val="5"/>
        </w:numPr>
        <w:spacing w:lineRule="auto" w:line="276"/>
        <w:rPr/>
      </w:pPr>
      <w:r>
        <w:rPr/>
        <w:t>Zamawiający rezerwuje sobie prawo organizacji Spotkań oraz Narad w czasie wszystkich etapów realizacji prac budowlanych i nadzorowania inwestycji, w tym także w trakcie odbiorów.</w:t>
      </w:r>
    </w:p>
    <w:p>
      <w:pPr>
        <w:pStyle w:val="Podstawowy"/>
        <w:numPr>
          <w:ilvl w:val="0"/>
          <w:numId w:val="5"/>
        </w:numPr>
        <w:spacing w:lineRule="auto" w:line="276"/>
        <w:rPr/>
      </w:pPr>
      <w:r>
        <w:rPr/>
        <w:t>Miejsce spotkań będzie ustalane na bieżąco. Należy przyjąć jednak zasadę, że spotkania będą odbywać się w siedzibie Zamawiającego od pierwszego etapu aż do momentu zakończenia prac budowlanych. Możliwe jest również uzgodnienie spotkania online, tylko za zgodą Zamawiającego.</w:t>
      </w:r>
    </w:p>
    <w:p>
      <w:pPr>
        <w:pStyle w:val="Podstawowy"/>
        <w:numPr>
          <w:ilvl w:val="0"/>
          <w:numId w:val="5"/>
        </w:numPr>
        <w:spacing w:lineRule="auto" w:line="276"/>
        <w:rPr/>
      </w:pPr>
      <w:r>
        <w:rPr/>
        <w:t xml:space="preserve">Wykonawca robót budowlanych będzie odpowiedzialny za sporządzanie notatek z każdej                    z Narad Budowlanej oraz Koordynacyjnej. </w:t>
      </w:r>
      <w:r>
        <w:rPr>
          <w:lang w:eastAsia="pl-PL" w:bidi="he-IL"/>
        </w:rPr>
        <w:t xml:space="preserve">Notatka musi zawierać: </w:t>
      </w:r>
    </w:p>
    <w:p>
      <w:pPr>
        <w:pStyle w:val="Normal"/>
        <w:numPr>
          <w:ilvl w:val="1"/>
          <w:numId w:val="11"/>
        </w:numPr>
        <w:spacing w:lineRule="auto" w:line="276"/>
        <w:rPr/>
      </w:pPr>
      <w:r>
        <w:rPr/>
        <w:t>stronę tytułową z opisem rodzaju spotkania, lokalizacji, daty spotkania;</w:t>
      </w:r>
    </w:p>
    <w:p>
      <w:pPr>
        <w:pStyle w:val="Normal"/>
        <w:numPr>
          <w:ilvl w:val="1"/>
          <w:numId w:val="11"/>
        </w:numPr>
        <w:spacing w:lineRule="auto" w:line="276"/>
        <w:rPr/>
      </w:pPr>
      <w:r>
        <w:rPr/>
        <w:t>listę uczestników wraz z podpisami;</w:t>
      </w:r>
    </w:p>
    <w:p>
      <w:pPr>
        <w:pStyle w:val="Normal"/>
        <w:numPr>
          <w:ilvl w:val="1"/>
          <w:numId w:val="11"/>
        </w:numPr>
        <w:spacing w:lineRule="auto" w:line="276"/>
        <w:rPr/>
      </w:pPr>
      <w:r>
        <w:rPr/>
        <w:t>wszelkie ustalenia dokonane podczas spotkania.</w:t>
      </w:r>
    </w:p>
    <w:p>
      <w:pPr>
        <w:pStyle w:val="Podstawowy"/>
        <w:numPr>
          <w:ilvl w:val="0"/>
          <w:numId w:val="5"/>
        </w:numPr>
        <w:spacing w:lineRule="auto" w:line="276"/>
        <w:rPr>
          <w:u w:val="none"/>
        </w:rPr>
      </w:pPr>
      <w:r>
        <w:rPr>
          <w:u w:val="none"/>
        </w:rPr>
        <w:t>Wykonawca robót budowlanych będzie wysyłał Zamawiającemu notatkę nie później niż                    1 dzień roboczy po spotkaniu, Zamawiający zgłosi uwagi do notatki w ciągu 5 dni roboczych od terminu spotkania. Wykonawca robót budowlanych wprowadzi zgłoszone uwagi do notatki w ciągu 2 dni roboczych.</w:t>
      </w:r>
    </w:p>
    <w:p>
      <w:pPr>
        <w:pStyle w:val="Podstawowy"/>
        <w:numPr>
          <w:ilvl w:val="0"/>
          <w:numId w:val="5"/>
        </w:numPr>
        <w:spacing w:lineRule="auto" w:line="276"/>
        <w:rPr>
          <w:u w:val="none"/>
        </w:rPr>
      </w:pPr>
      <w:r>
        <w:rPr>
          <w:u w:val="none"/>
        </w:rPr>
        <w:t>Narady budowy będą odbywały się nie rzadziej niż raz na dwa tygodnie od momentu podpisania Umowy przez Wykonawcę robót budowlanych do momentu końcowego odbioru robót.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340"/>
        <w:rPr/>
      </w:pPr>
      <w:r>
        <w:rPr/>
        <w:t xml:space="preserve"> </w:t>
      </w:r>
      <w:r>
        <w:rPr>
          <w:i/>
          <w:iCs/>
        </w:rPr>
        <w:t>Uczestnicy: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Przedstawiciele Zamawiającego;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Wykonawca Nadzoru Inwestorskiego;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Projektant (wg potrzeb);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Przedstawiciel Wykonawcy robót budowlanych – Koordynator całości zadania;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Kierownik budowy;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Kierownik robót sanitarnych (wg potrzeb);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Kierownik robót elektrycznych (wg potrzeb);</w:t>
      </w:r>
    </w:p>
    <w:p>
      <w:pPr>
        <w:pStyle w:val="Normal"/>
        <w:numPr>
          <w:ilvl w:val="1"/>
          <w:numId w:val="12"/>
        </w:numPr>
        <w:spacing w:lineRule="auto" w:line="276"/>
        <w:rPr/>
      </w:pPr>
      <w:r>
        <w:rPr/>
        <w:t>inne wymagane osoby z zespołu Wykonawcy robót budowlanych.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397"/>
        <w:rPr/>
      </w:pPr>
      <w:r>
        <w:rPr>
          <w:i/>
          <w:iCs/>
        </w:rPr>
        <w:t>Główne cele narad:</w:t>
      </w:r>
    </w:p>
    <w:p>
      <w:pPr>
        <w:pStyle w:val="Normal"/>
        <w:numPr>
          <w:ilvl w:val="1"/>
          <w:numId w:val="13"/>
        </w:numPr>
        <w:spacing w:lineRule="auto" w:line="276"/>
        <w:jc w:val="both"/>
        <w:rPr/>
      </w:pPr>
      <w:r>
        <w:rPr/>
        <w:t xml:space="preserve">Przedstawianie przez Wykonawcę robót budowlanych planu realizacji robót i ustalanie szczegółów realizacji z  Zamawiającym. Przedstawianie </w:t>
      </w:r>
      <w:r>
        <w:rPr>
          <w:rFonts w:cs="Tahoma"/>
        </w:rPr>
        <w:t>propozycji zmian oraz usprawnianie procesu inwestycyjnego. Celem spotkań jest częściowe uzgadnianie planu i harmonogramu, przy współudziale użytkowników;</w:t>
      </w:r>
    </w:p>
    <w:p>
      <w:pPr>
        <w:pStyle w:val="Normal"/>
        <w:numPr>
          <w:ilvl w:val="1"/>
          <w:numId w:val="13"/>
        </w:numPr>
        <w:spacing w:lineRule="auto" w:line="276"/>
        <w:jc w:val="both"/>
        <w:rPr/>
      </w:pPr>
      <w:r>
        <w:rPr/>
        <w:t>Prezentacja przekazywanych przez Wykonawcę robót budowlanych planów ze zrealizowanej części oraz planowanej realizacji zgodnie z harmonogramem na najbliższe dwa tygodnie do przodu;</w:t>
      </w:r>
    </w:p>
    <w:p>
      <w:pPr>
        <w:pStyle w:val="Normal"/>
        <w:numPr>
          <w:ilvl w:val="1"/>
          <w:numId w:val="13"/>
        </w:numPr>
        <w:spacing w:lineRule="auto" w:line="276"/>
        <w:jc w:val="both"/>
        <w:rPr/>
      </w:pPr>
      <w:r>
        <w:rPr/>
        <w:t>Omówienie jakości wykonanych robót oraz uwag Zamawiającego;</w:t>
      </w:r>
    </w:p>
    <w:p>
      <w:pPr>
        <w:pStyle w:val="Normal"/>
        <w:numPr>
          <w:ilvl w:val="1"/>
          <w:numId w:val="13"/>
        </w:numPr>
        <w:spacing w:lineRule="auto" w:line="276"/>
        <w:jc w:val="both"/>
        <w:rPr/>
      </w:pPr>
      <w:r>
        <w:rPr/>
        <w:t>Weryfikacja uzupełnienia uwag</w:t>
      </w:r>
      <w:r>
        <w:rPr>
          <w:rFonts w:eastAsia="SimSun"/>
          <w:kern w:val="0"/>
          <w:lang w:eastAsia="zh-CN"/>
          <w14:ligatures w14:val="none"/>
        </w:rPr>
        <w:t>;</w:t>
      </w:r>
    </w:p>
    <w:p>
      <w:pPr>
        <w:pStyle w:val="Normal"/>
        <w:numPr>
          <w:ilvl w:val="1"/>
          <w:numId w:val="13"/>
        </w:numPr>
        <w:spacing w:lineRule="auto" w:line="276"/>
        <w:jc w:val="both"/>
        <w:rPr/>
      </w:pPr>
      <w:r>
        <w:rPr/>
        <w:t>Omawianie postępu prac budowlanych w stosunku do Harmonogramu. W razie konieczności uzgodnienie planów naprawczych;</w:t>
      </w:r>
    </w:p>
    <w:p>
      <w:pPr>
        <w:pStyle w:val="Normal"/>
        <w:numPr>
          <w:ilvl w:val="1"/>
          <w:numId w:val="13"/>
        </w:numPr>
        <w:spacing w:lineRule="auto" w:line="276"/>
        <w:jc w:val="both"/>
        <w:rPr/>
      </w:pPr>
      <w:r>
        <w:rPr/>
        <w:t>Uaktualnienie zakresu przekazywanej dokumentacji dla najbliższych cykli iteracyjnych Wykonawca jest odpowiedzialny za sprzęt do prezentacji danych.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284"/>
        <w:rPr>
          <w:strike/>
        </w:rPr>
      </w:pPr>
      <w:r>
        <w:rPr>
          <w:strike/>
        </w:rPr>
      </w:r>
    </w:p>
    <w:p>
      <w:pPr>
        <w:pStyle w:val="ListParagraph"/>
        <w:spacing w:lineRule="auto" w:line="276"/>
        <w:ind w:hanging="0" w:left="0"/>
        <w:rPr/>
      </w:pPr>
      <w:r>
        <w:rPr>
          <w:b/>
          <w:bCs/>
          <w:i/>
          <w:iCs/>
          <w:spacing w:val="-16"/>
          <w:sz w:val="24"/>
          <w:szCs w:val="24"/>
        </w:rPr>
        <w:t>4. Odbiory  robót.</w:t>
      </w:r>
    </w:p>
    <w:p>
      <w:pPr>
        <w:pStyle w:val="ListParagraph"/>
        <w:spacing w:lineRule="auto" w:line="276"/>
        <w:ind w:hanging="0" w:left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Podstawowy"/>
        <w:numPr>
          <w:ilvl w:val="0"/>
          <w:numId w:val="0"/>
        </w:numPr>
        <w:spacing w:lineRule="auto" w:line="276"/>
        <w:ind w:hanging="0" w:left="720"/>
        <w:rPr/>
      </w:pPr>
      <w:r>
        <w:rPr/>
        <w:t>W zależności od ustaleń odpowiednich Specyfikacji Technicznych Warunków i Odbioru Robót , roboty podlegają następującym etapom odbioru:</w:t>
      </w:r>
    </w:p>
    <w:p>
      <w:pPr>
        <w:pStyle w:val="Normal"/>
        <w:numPr>
          <w:ilvl w:val="2"/>
          <w:numId w:val="14"/>
        </w:numPr>
        <w:spacing w:lineRule="auto" w:line="240"/>
        <w:rPr/>
      </w:pPr>
      <w:r>
        <w:rPr>
          <w:spacing w:val="-8"/>
        </w:rPr>
        <w:t xml:space="preserve">Odbiorowi robót zanikających </w:t>
      </w:r>
      <w:r>
        <w:rPr/>
        <w:t xml:space="preserve">i </w:t>
      </w:r>
      <w:r>
        <w:rPr>
          <w:spacing w:val="-9"/>
        </w:rPr>
        <w:t xml:space="preserve">ulegających </w:t>
      </w:r>
      <w:r>
        <w:rPr>
          <w:spacing w:val="-8"/>
        </w:rPr>
        <w:t>zakryciu;</w:t>
      </w:r>
    </w:p>
    <w:p>
      <w:pPr>
        <w:pStyle w:val="Normal"/>
        <w:numPr>
          <w:ilvl w:val="2"/>
          <w:numId w:val="14"/>
        </w:numPr>
        <w:spacing w:lineRule="auto" w:line="240"/>
        <w:rPr/>
      </w:pPr>
      <w:r>
        <w:rPr/>
        <w:t>Odbiorowi końcowemu;</w:t>
      </w:r>
    </w:p>
    <w:p>
      <w:pPr>
        <w:pStyle w:val="Podstawowy"/>
        <w:numPr>
          <w:ilvl w:val="0"/>
          <w:numId w:val="6"/>
        </w:numPr>
        <w:spacing w:lineRule="auto" w:line="276"/>
        <w:rPr/>
      </w:pPr>
      <w:r>
        <w:rPr>
          <w:b/>
          <w:bCs/>
          <w:spacing w:val="-3"/>
        </w:rPr>
        <w:t xml:space="preserve">Odbiór </w:t>
      </w:r>
      <w:r>
        <w:rPr>
          <w:b/>
          <w:bCs/>
          <w:spacing w:val="-4"/>
        </w:rPr>
        <w:t xml:space="preserve">robót zanikających </w:t>
      </w:r>
      <w:r>
        <w:rPr>
          <w:b/>
          <w:bCs/>
        </w:rPr>
        <w:t xml:space="preserve">i </w:t>
      </w:r>
      <w:r>
        <w:rPr>
          <w:b/>
          <w:bCs/>
          <w:spacing w:val="-4"/>
        </w:rPr>
        <w:t xml:space="preserve">ulegających </w:t>
      </w:r>
      <w:r>
        <w:rPr>
          <w:b/>
          <w:bCs/>
          <w:spacing w:val="-3"/>
        </w:rPr>
        <w:t>zakryciu</w:t>
      </w:r>
      <w:r>
        <w:rPr>
          <w:spacing w:val="-3"/>
        </w:rPr>
        <w:t xml:space="preserve"> </w:t>
      </w:r>
      <w:r>
        <w:rPr>
          <w:spacing w:val="-4"/>
        </w:rPr>
        <w:t xml:space="preserve">polega </w:t>
      </w:r>
      <w:r>
        <w:rPr/>
        <w:t xml:space="preserve">na </w:t>
      </w:r>
      <w:r>
        <w:rPr>
          <w:spacing w:val="-3"/>
        </w:rPr>
        <w:t xml:space="preserve">finalnej ocenie ilości </w:t>
      </w:r>
      <w:r>
        <w:rPr/>
        <w:t xml:space="preserve">i </w:t>
      </w:r>
      <w:r>
        <w:rPr>
          <w:spacing w:val="-4"/>
        </w:rPr>
        <w:t xml:space="preserve">jakości </w:t>
      </w:r>
      <w:r>
        <w:rPr/>
        <w:t xml:space="preserve">wykonywanych robót, które w dalszym procesie realizacji ulegną zakryciu. </w:t>
      </w:r>
      <w:r>
        <w:rPr>
          <w:spacing w:val="-5"/>
        </w:rPr>
        <w:t xml:space="preserve">Odbiór robót </w:t>
      </w:r>
      <w:r>
        <w:rPr>
          <w:spacing w:val="-6"/>
        </w:rPr>
        <w:t xml:space="preserve">zanikających </w:t>
      </w:r>
      <w:r>
        <w:rPr/>
        <w:t xml:space="preserve">i </w:t>
      </w:r>
      <w:r>
        <w:rPr>
          <w:spacing w:val="-5"/>
        </w:rPr>
        <w:t xml:space="preserve">ulegających zakryciu, </w:t>
      </w:r>
      <w:r>
        <w:rPr>
          <w:spacing w:val="-6"/>
        </w:rPr>
        <w:t xml:space="preserve">będzie dokonany </w:t>
      </w:r>
      <w:r>
        <w:rPr/>
        <w:t xml:space="preserve">w </w:t>
      </w:r>
      <w:r>
        <w:rPr>
          <w:spacing w:val="-5"/>
        </w:rPr>
        <w:t xml:space="preserve">czasie </w:t>
      </w:r>
      <w:r>
        <w:rPr>
          <w:spacing w:val="-6"/>
        </w:rPr>
        <w:t xml:space="preserve">umożliwiającym </w:t>
      </w:r>
      <w:r>
        <w:rPr>
          <w:spacing w:val="-9"/>
        </w:rPr>
        <w:t xml:space="preserve">wykonanie </w:t>
      </w:r>
      <w:r>
        <w:rPr>
          <w:spacing w:val="-8"/>
        </w:rPr>
        <w:t xml:space="preserve">ewentualnych korekt </w:t>
      </w:r>
      <w:r>
        <w:rPr/>
        <w:t xml:space="preserve">i </w:t>
      </w:r>
      <w:r>
        <w:rPr>
          <w:spacing w:val="-8"/>
        </w:rPr>
        <w:t xml:space="preserve">poprawek, </w:t>
      </w:r>
      <w:r>
        <w:rPr>
          <w:spacing w:val="-6"/>
        </w:rPr>
        <w:t xml:space="preserve">bez </w:t>
      </w:r>
      <w:r>
        <w:rPr>
          <w:spacing w:val="-8"/>
        </w:rPr>
        <w:t xml:space="preserve">hamowania ogólnego postępu robót. Odbioru robót </w:t>
      </w:r>
      <w:r>
        <w:rPr>
          <w:spacing w:val="-10"/>
        </w:rPr>
        <w:t>dokonuje I</w:t>
      </w:r>
      <w:r>
        <w:rPr>
          <w:spacing w:val="-10"/>
          <w:u w:val="none"/>
        </w:rPr>
        <w:t>nspektor Nadzoru.</w:t>
      </w:r>
      <w:r>
        <w:rPr>
          <w:b/>
          <w:bCs/>
          <w:spacing w:val="-10"/>
          <w:u w:val="none"/>
        </w:rPr>
        <w:t xml:space="preserve"> </w:t>
      </w:r>
      <w:r>
        <w:rPr>
          <w:spacing w:val="-10"/>
          <w:u w:val="none"/>
        </w:rPr>
        <w:t xml:space="preserve"> Gotowość </w:t>
      </w:r>
      <w:r>
        <w:rPr>
          <w:spacing w:val="-9"/>
          <w:u w:val="none"/>
        </w:rPr>
        <w:t xml:space="preserve">danej części </w:t>
      </w:r>
      <w:r>
        <w:rPr>
          <w:spacing w:val="-8"/>
          <w:u w:val="none"/>
        </w:rPr>
        <w:t xml:space="preserve">robót </w:t>
      </w:r>
      <w:r>
        <w:rPr>
          <w:spacing w:val="-6"/>
          <w:u w:val="none"/>
        </w:rPr>
        <w:t xml:space="preserve">do </w:t>
      </w:r>
      <w:r>
        <w:rPr>
          <w:spacing w:val="-9"/>
          <w:u w:val="none"/>
        </w:rPr>
        <w:t xml:space="preserve">odbioru </w:t>
      </w:r>
      <w:r>
        <w:rPr>
          <w:spacing w:val="-6"/>
          <w:u w:val="none"/>
        </w:rPr>
        <w:t>Wykonawca</w:t>
      </w:r>
      <w:r>
        <w:rPr>
          <w:spacing w:val="-7"/>
          <w:u w:val="none"/>
        </w:rPr>
        <w:t xml:space="preserve"> robót budowlanych </w:t>
      </w:r>
      <w:r>
        <w:rPr>
          <w:spacing w:val="-9"/>
          <w:u w:val="none"/>
        </w:rPr>
        <w:t xml:space="preserve">zgłasza </w:t>
      </w:r>
      <w:r>
        <w:rPr>
          <w:spacing w:val="-7"/>
          <w:u w:val="none"/>
        </w:rPr>
        <w:t xml:space="preserve">Wykonawcy Nadzoru Inwestorskiego pisemnie </w:t>
      </w:r>
      <w:r>
        <w:rPr>
          <w:u w:val="none"/>
        </w:rPr>
        <w:t xml:space="preserve">z </w:t>
      </w:r>
      <w:r>
        <w:rPr>
          <w:spacing w:val="-7"/>
          <w:u w:val="none"/>
        </w:rPr>
        <w:t xml:space="preserve">jednoczesnym powiadomieniem  Zamawiającego. </w:t>
      </w:r>
      <w:r>
        <w:rPr>
          <w:spacing w:val="-8"/>
          <w:u w:val="none"/>
        </w:rPr>
        <w:t xml:space="preserve">Odbiór będzie </w:t>
      </w:r>
      <w:r>
        <w:rPr>
          <w:spacing w:val="-9"/>
          <w:u w:val="none"/>
        </w:rPr>
        <w:t xml:space="preserve">przeprowadzony niezwłocznie, </w:t>
      </w:r>
      <w:r>
        <w:rPr>
          <w:spacing w:val="-7"/>
          <w:u w:val="none"/>
        </w:rPr>
        <w:t xml:space="preserve">nie </w:t>
      </w:r>
      <w:r>
        <w:rPr>
          <w:spacing w:val="-8"/>
          <w:u w:val="none"/>
        </w:rPr>
        <w:t xml:space="preserve">później jednak </w:t>
      </w:r>
      <w:r>
        <w:rPr>
          <w:spacing w:val="-6"/>
          <w:u w:val="none"/>
        </w:rPr>
        <w:t xml:space="preserve">niż </w:t>
      </w:r>
      <w:r>
        <w:rPr>
          <w:u w:val="none"/>
        </w:rPr>
        <w:t xml:space="preserve">w </w:t>
      </w:r>
      <w:r>
        <w:rPr>
          <w:spacing w:val="-7"/>
          <w:u w:val="none"/>
        </w:rPr>
        <w:t xml:space="preserve">ciągu </w:t>
      </w:r>
      <w:r>
        <w:rPr>
          <w:u w:val="none"/>
        </w:rPr>
        <w:t xml:space="preserve">3 </w:t>
      </w:r>
      <w:r>
        <w:rPr>
          <w:spacing w:val="-7"/>
          <w:u w:val="none"/>
        </w:rPr>
        <w:t xml:space="preserve">dni </w:t>
      </w:r>
      <w:r>
        <w:rPr>
          <w:spacing w:val="-5"/>
          <w:u w:val="none"/>
        </w:rPr>
        <w:t xml:space="preserve">od </w:t>
      </w:r>
      <w:r>
        <w:rPr>
          <w:spacing w:val="-7"/>
          <w:u w:val="none"/>
        </w:rPr>
        <w:t xml:space="preserve">daty </w:t>
      </w:r>
      <w:r>
        <w:rPr>
          <w:spacing w:val="-8"/>
          <w:u w:val="none"/>
        </w:rPr>
        <w:t xml:space="preserve"> powiadomienia </w:t>
      </w:r>
      <w:r>
        <w:rPr>
          <w:u w:val="none"/>
        </w:rPr>
        <w:t xml:space="preserve">o </w:t>
      </w:r>
      <w:r>
        <w:rPr>
          <w:spacing w:val="-6"/>
          <w:u w:val="none"/>
        </w:rPr>
        <w:t xml:space="preserve">tym </w:t>
      </w:r>
      <w:r>
        <w:rPr>
          <w:spacing w:val="-8"/>
          <w:u w:val="none"/>
        </w:rPr>
        <w:t xml:space="preserve">fakcie Wykonawcy Nadzoru Inwestorskiego.  </w:t>
      </w:r>
      <w:r>
        <w:rPr>
          <w:spacing w:val="-7"/>
          <w:u w:val="none"/>
        </w:rPr>
        <w:t xml:space="preserve">Jakość </w:t>
      </w:r>
      <w:r>
        <w:rPr>
          <w:u w:val="none"/>
        </w:rPr>
        <w:t xml:space="preserve">i </w:t>
      </w:r>
      <w:r>
        <w:rPr>
          <w:spacing w:val="-7"/>
          <w:u w:val="none"/>
        </w:rPr>
        <w:t xml:space="preserve">ilość robót </w:t>
      </w:r>
      <w:r>
        <w:rPr>
          <w:spacing w:val="-8"/>
          <w:u w:val="none"/>
        </w:rPr>
        <w:t xml:space="preserve">ulegających </w:t>
      </w:r>
      <w:r>
        <w:rPr>
          <w:spacing w:val="-7"/>
          <w:u w:val="none"/>
        </w:rPr>
        <w:t>z</w:t>
      </w:r>
      <w:r>
        <w:rPr>
          <w:spacing w:val="-7"/>
        </w:rPr>
        <w:t xml:space="preserve">akryciu ocenia </w:t>
      </w:r>
      <w:r>
        <w:rPr>
          <w:spacing w:val="-8"/>
        </w:rPr>
        <w:t xml:space="preserve">Wykonawca Nadzoru Inwestorskiego </w:t>
      </w:r>
      <w:r>
        <w:rPr>
          <w:spacing w:val="-5"/>
        </w:rPr>
        <w:t xml:space="preserve">na </w:t>
      </w:r>
      <w:r>
        <w:rPr>
          <w:spacing w:val="-7"/>
        </w:rPr>
        <w:t xml:space="preserve">podstawie dokumentów </w:t>
      </w:r>
      <w:r>
        <w:rPr>
          <w:spacing w:val="-8"/>
        </w:rPr>
        <w:t xml:space="preserve">przedstawionych </w:t>
      </w:r>
      <w:r>
        <w:rPr>
          <w:spacing w:val="-7"/>
        </w:rPr>
        <w:t xml:space="preserve">przez </w:t>
      </w:r>
      <w:r>
        <w:rPr>
          <w:spacing w:val="-5"/>
        </w:rPr>
        <w:t xml:space="preserve">Wykonawcę robót budowlanych </w:t>
      </w:r>
      <w:r>
        <w:rPr/>
        <w:t xml:space="preserve">w </w:t>
      </w:r>
      <w:r>
        <w:rPr>
          <w:spacing w:val="-5"/>
        </w:rPr>
        <w:t xml:space="preserve">oparciu   </w:t>
      </w:r>
      <w:r>
        <w:rPr/>
        <w:t xml:space="preserve">o </w:t>
      </w:r>
      <w:r>
        <w:rPr>
          <w:spacing w:val="-6"/>
        </w:rPr>
        <w:t xml:space="preserve">przeprowadzone </w:t>
      </w:r>
      <w:r>
        <w:rPr>
          <w:spacing w:val="-5"/>
        </w:rPr>
        <w:t xml:space="preserve"> oględziny,  </w:t>
      </w:r>
      <w:r>
        <w:rPr/>
        <w:t xml:space="preserve">w </w:t>
      </w:r>
      <w:r>
        <w:rPr>
          <w:spacing w:val="-6"/>
        </w:rPr>
        <w:t xml:space="preserve">konfrontacji  </w:t>
      </w:r>
      <w:r>
        <w:rPr/>
        <w:t xml:space="preserve">z </w:t>
      </w:r>
      <w:r>
        <w:rPr>
          <w:spacing w:val="-6"/>
        </w:rPr>
        <w:t xml:space="preserve">dokumentacją  </w:t>
      </w:r>
      <w:r>
        <w:rPr/>
        <w:t xml:space="preserve">projektową  i uprzednimi ustaleniami. </w:t>
      </w:r>
      <w:r>
        <w:rPr>
          <w:sz w:val="22"/>
          <w:szCs w:val="22"/>
          <w:u w:val="none"/>
        </w:rPr>
        <w:t>W przypadku usprawiedliwionego nieprzybycia Wykonawcy Nadzoru Inwestorskiego zostanie wyznaczony kolejny termin badania Robót przed ich zakryciem lub zasłonięciem. W razie ponownego nieprzybycia Wykonawcy Nadzoru Inwestorskiego  w określonym czasie Wykonawca robót budowlanych upoważniony będzie do zakrycia lub zasłonięcia Robót</w:t>
      </w:r>
      <w:r>
        <w:rPr/>
        <w:t>.</w:t>
      </w:r>
    </w:p>
    <w:p>
      <w:pPr>
        <w:pStyle w:val="Podstawowy"/>
        <w:numPr>
          <w:ilvl w:val="0"/>
          <w:numId w:val="6"/>
        </w:numPr>
        <w:spacing w:lineRule="auto" w:line="276"/>
        <w:jc w:val="both"/>
        <w:rPr/>
      </w:pPr>
      <w:r>
        <w:rPr>
          <w:b/>
          <w:bCs/>
          <w:spacing w:val="-8"/>
        </w:rPr>
        <w:t xml:space="preserve">Odbiór </w:t>
      </w:r>
      <w:r>
        <w:rPr>
          <w:b/>
          <w:bCs/>
          <w:spacing w:val="-9"/>
        </w:rPr>
        <w:t>końcowy</w:t>
      </w:r>
      <w:r>
        <w:rPr>
          <w:spacing w:val="-9"/>
        </w:rPr>
        <w:t xml:space="preserve"> </w:t>
      </w:r>
      <w:r>
        <w:rPr>
          <w:spacing w:val="-8"/>
        </w:rPr>
        <w:t xml:space="preserve">polega </w:t>
      </w:r>
      <w:r>
        <w:rPr>
          <w:spacing w:val="-6"/>
        </w:rPr>
        <w:t xml:space="preserve">na </w:t>
      </w:r>
      <w:r>
        <w:rPr>
          <w:spacing w:val="-8"/>
        </w:rPr>
        <w:t xml:space="preserve">ocenie </w:t>
      </w:r>
      <w:r>
        <w:rPr>
          <w:spacing w:val="-9"/>
        </w:rPr>
        <w:t xml:space="preserve">rzeczywistego </w:t>
      </w:r>
      <w:r>
        <w:rPr>
          <w:spacing w:val="-8"/>
        </w:rPr>
        <w:t xml:space="preserve">wykonania robót </w:t>
      </w:r>
      <w:r>
        <w:rPr/>
        <w:t xml:space="preserve">w </w:t>
      </w:r>
      <w:r>
        <w:rPr>
          <w:spacing w:val="-8"/>
        </w:rPr>
        <w:t xml:space="preserve">odniesieniu </w:t>
      </w:r>
      <w:r>
        <w:rPr>
          <w:spacing w:val="-5"/>
        </w:rPr>
        <w:t xml:space="preserve">do </w:t>
      </w:r>
      <w:r>
        <w:rPr>
          <w:spacing w:val="-6"/>
        </w:rPr>
        <w:t xml:space="preserve">ich </w:t>
      </w:r>
      <w:r>
        <w:rPr>
          <w:spacing w:val="-8"/>
        </w:rPr>
        <w:t xml:space="preserve">ilości, jakości               </w:t>
      </w:r>
      <w:r>
        <w:rPr/>
        <w:t xml:space="preserve">i </w:t>
      </w:r>
      <w:r>
        <w:rPr>
          <w:spacing w:val="-7"/>
        </w:rPr>
        <w:t xml:space="preserve">wartości. </w:t>
      </w:r>
      <w:r>
        <w:rPr>
          <w:spacing w:val="-6"/>
        </w:rPr>
        <w:t xml:space="preserve">Całkowite </w:t>
      </w:r>
      <w:r>
        <w:rPr>
          <w:spacing w:val="-7"/>
        </w:rPr>
        <w:t xml:space="preserve">zakończenie </w:t>
      </w:r>
      <w:r>
        <w:rPr>
          <w:spacing w:val="-6"/>
        </w:rPr>
        <w:t xml:space="preserve">robót </w:t>
      </w:r>
      <w:r>
        <w:rPr>
          <w:spacing w:val="-5"/>
        </w:rPr>
        <w:t xml:space="preserve">oraz </w:t>
      </w:r>
      <w:r>
        <w:rPr>
          <w:spacing w:val="-6"/>
        </w:rPr>
        <w:t xml:space="preserve">gotowość </w:t>
      </w:r>
      <w:r>
        <w:rPr>
          <w:spacing w:val="-5"/>
        </w:rPr>
        <w:t xml:space="preserve">do </w:t>
      </w:r>
      <w:r>
        <w:rPr>
          <w:spacing w:val="-6"/>
        </w:rPr>
        <w:t xml:space="preserve">odbioru </w:t>
      </w:r>
      <w:r>
        <w:rPr>
          <w:spacing w:val="-7"/>
        </w:rPr>
        <w:t xml:space="preserve">końcowego </w:t>
      </w:r>
      <w:r>
        <w:rPr>
          <w:spacing w:val="-6"/>
        </w:rPr>
        <w:t xml:space="preserve">będzie </w:t>
      </w:r>
      <w:r>
        <w:rPr>
          <w:spacing w:val="-7"/>
        </w:rPr>
        <w:t xml:space="preserve">stwierdzona </w:t>
      </w:r>
      <w:r>
        <w:rPr>
          <w:spacing w:val="-8"/>
        </w:rPr>
        <w:t xml:space="preserve">przez </w:t>
      </w:r>
      <w:r>
        <w:rPr>
          <w:spacing w:val="-9"/>
        </w:rPr>
        <w:t xml:space="preserve">Wykonawcę robót budowlanych </w:t>
      </w:r>
      <w:r>
        <w:rPr>
          <w:spacing w:val="-10"/>
        </w:rPr>
        <w:t xml:space="preserve">powiadomieniem </w:t>
      </w:r>
      <w:r>
        <w:rPr>
          <w:spacing w:val="-6"/>
        </w:rPr>
        <w:t xml:space="preserve">na </w:t>
      </w:r>
      <w:r>
        <w:rPr>
          <w:spacing w:val="-9"/>
        </w:rPr>
        <w:t xml:space="preserve">piśmie </w:t>
      </w:r>
      <w:r>
        <w:rPr/>
        <w:t xml:space="preserve">o </w:t>
      </w:r>
      <w:r>
        <w:rPr>
          <w:spacing w:val="-7"/>
        </w:rPr>
        <w:t xml:space="preserve">tym </w:t>
      </w:r>
      <w:r>
        <w:rPr>
          <w:spacing w:val="-5"/>
        </w:rPr>
        <w:t xml:space="preserve">fakcie </w:t>
      </w:r>
      <w:r>
        <w:rPr>
          <w:spacing w:val="-6"/>
        </w:rPr>
        <w:t xml:space="preserve">Zamawiającego. </w:t>
      </w:r>
      <w:r>
        <w:rPr>
          <w:spacing w:val="-5"/>
        </w:rPr>
        <w:t xml:space="preserve">Odbiór końcowy nastąpi </w:t>
      </w:r>
      <w:r>
        <w:rPr/>
        <w:t xml:space="preserve">w </w:t>
      </w:r>
      <w:r>
        <w:rPr>
          <w:spacing w:val="-5"/>
        </w:rPr>
        <w:t xml:space="preserve">terminie </w:t>
      </w:r>
      <w:r>
        <w:rPr>
          <w:spacing w:val="-6"/>
        </w:rPr>
        <w:t xml:space="preserve">ustalonym </w:t>
      </w:r>
      <w:r>
        <w:rPr/>
        <w:t xml:space="preserve">w </w:t>
      </w:r>
      <w:r>
        <w:rPr>
          <w:spacing w:val="-7"/>
        </w:rPr>
        <w:t xml:space="preserve">dokumentach </w:t>
      </w:r>
      <w:r>
        <w:rPr>
          <w:spacing w:val="-6"/>
        </w:rPr>
        <w:t xml:space="preserve">Umowy, </w:t>
      </w:r>
      <w:r>
        <w:rPr>
          <w:spacing w:val="-7"/>
        </w:rPr>
        <w:t xml:space="preserve">licząc </w:t>
      </w:r>
      <w:r>
        <w:rPr>
          <w:spacing w:val="-4"/>
        </w:rPr>
        <w:t xml:space="preserve">od </w:t>
      </w:r>
      <w:r>
        <w:rPr>
          <w:spacing w:val="-5"/>
        </w:rPr>
        <w:t xml:space="preserve">dnia </w:t>
      </w:r>
      <w:r>
        <w:rPr>
          <w:spacing w:val="-7"/>
        </w:rPr>
        <w:t xml:space="preserve">potwierdzenia </w:t>
      </w:r>
      <w:r>
        <w:rPr>
          <w:spacing w:val="-6"/>
        </w:rPr>
        <w:t xml:space="preserve">przez </w:t>
      </w:r>
      <w:r>
        <w:rPr>
          <w:spacing w:val="-7"/>
        </w:rPr>
        <w:t xml:space="preserve">Zamawiającego zakończenia robót </w:t>
      </w:r>
      <w:r>
        <w:rPr/>
        <w:t xml:space="preserve">i </w:t>
      </w:r>
      <w:r>
        <w:rPr>
          <w:spacing w:val="-7"/>
        </w:rPr>
        <w:t xml:space="preserve">przejęcia dokumentów, </w:t>
      </w:r>
      <w:r>
        <w:rPr/>
        <w:t xml:space="preserve">o </w:t>
      </w:r>
      <w:r>
        <w:rPr>
          <w:spacing w:val="-6"/>
        </w:rPr>
        <w:t xml:space="preserve">których </w:t>
      </w:r>
      <w:r>
        <w:rPr>
          <w:spacing w:val="-5"/>
        </w:rPr>
        <w:t xml:space="preserve">mowa </w:t>
      </w:r>
      <w:r>
        <w:rPr>
          <w:spacing w:val="-7"/>
        </w:rPr>
        <w:t xml:space="preserve">poniżej. Odbioru końcowego </w:t>
      </w:r>
      <w:r>
        <w:rPr>
          <w:spacing w:val="-6"/>
        </w:rPr>
        <w:t xml:space="preserve">dokona </w:t>
      </w:r>
      <w:r>
        <w:rPr>
          <w:spacing w:val="-7"/>
        </w:rPr>
        <w:t xml:space="preserve">komisja </w:t>
      </w:r>
      <w:r>
        <w:rPr>
          <w:spacing w:val="-6"/>
        </w:rPr>
        <w:t xml:space="preserve">wyznaczona </w:t>
      </w:r>
      <w:r>
        <w:rPr>
          <w:spacing w:val="-7"/>
        </w:rPr>
        <w:t xml:space="preserve">przez Zamawiającego </w:t>
      </w:r>
      <w:r>
        <w:rPr/>
        <w:t xml:space="preserve">i </w:t>
      </w:r>
      <w:r>
        <w:rPr>
          <w:spacing w:val="-7"/>
        </w:rPr>
        <w:t xml:space="preserve">Wykonawcę robót budowlanych. Komisja </w:t>
      </w:r>
      <w:r>
        <w:rPr>
          <w:spacing w:val="-8"/>
        </w:rPr>
        <w:t xml:space="preserve">odbierająca </w:t>
      </w:r>
      <w:r>
        <w:rPr>
          <w:spacing w:val="-7"/>
        </w:rPr>
        <w:t xml:space="preserve">roboty </w:t>
      </w:r>
      <w:r>
        <w:rPr>
          <w:spacing w:val="-3"/>
        </w:rPr>
        <w:t xml:space="preserve">dokona </w:t>
      </w:r>
      <w:r>
        <w:rPr/>
        <w:t xml:space="preserve">ich </w:t>
      </w:r>
      <w:r>
        <w:rPr>
          <w:spacing w:val="-3"/>
        </w:rPr>
        <w:t xml:space="preserve">oceny jakościowej </w:t>
      </w:r>
      <w:r>
        <w:rPr/>
        <w:t xml:space="preserve">na </w:t>
      </w:r>
      <w:r>
        <w:rPr>
          <w:spacing w:val="-3"/>
        </w:rPr>
        <w:t xml:space="preserve">podstawie przedłożonych dokumentów, wyników badań </w:t>
      </w:r>
      <w:r>
        <w:rPr/>
        <w:t xml:space="preserve">i </w:t>
      </w:r>
      <w:r>
        <w:rPr>
          <w:spacing w:val="-8"/>
        </w:rPr>
        <w:t xml:space="preserve">pomiarów, ocenie wizualnej </w:t>
      </w:r>
      <w:r>
        <w:rPr>
          <w:spacing w:val="-7"/>
        </w:rPr>
        <w:t xml:space="preserve">oraz </w:t>
      </w:r>
      <w:r>
        <w:rPr>
          <w:spacing w:val="-9"/>
        </w:rPr>
        <w:t xml:space="preserve">zgodności </w:t>
      </w:r>
      <w:r>
        <w:rPr>
          <w:spacing w:val="-8"/>
        </w:rPr>
        <w:t xml:space="preserve">wykonania robót </w:t>
      </w:r>
      <w:r>
        <w:rPr/>
        <w:t xml:space="preserve">z </w:t>
      </w:r>
      <w:r>
        <w:rPr>
          <w:spacing w:val="-9"/>
        </w:rPr>
        <w:t xml:space="preserve">dokumentacja projektową. </w:t>
      </w:r>
      <w:r>
        <w:rPr/>
        <w:t xml:space="preserve">W </w:t>
      </w:r>
      <w:r>
        <w:rPr>
          <w:spacing w:val="-4"/>
        </w:rPr>
        <w:t xml:space="preserve">toku odbioru </w:t>
      </w:r>
      <w:r>
        <w:rPr>
          <w:spacing w:val="-5"/>
        </w:rPr>
        <w:t xml:space="preserve">końcowego </w:t>
      </w:r>
      <w:r>
        <w:rPr>
          <w:spacing w:val="-4"/>
        </w:rPr>
        <w:t xml:space="preserve">robót, komisja </w:t>
      </w:r>
      <w:r>
        <w:rPr>
          <w:spacing w:val="-5"/>
        </w:rPr>
        <w:t xml:space="preserve">zapozna </w:t>
      </w:r>
      <w:r>
        <w:rPr>
          <w:spacing w:val="-3"/>
        </w:rPr>
        <w:t xml:space="preserve">się </w:t>
      </w:r>
      <w:r>
        <w:rPr/>
        <w:t xml:space="preserve">z </w:t>
      </w:r>
      <w:r>
        <w:rPr>
          <w:spacing w:val="-5"/>
        </w:rPr>
        <w:t xml:space="preserve">realizacją </w:t>
      </w:r>
      <w:r>
        <w:rPr>
          <w:spacing w:val="-4"/>
        </w:rPr>
        <w:t xml:space="preserve">ustaleń </w:t>
      </w:r>
      <w:r>
        <w:rPr>
          <w:spacing w:val="-5"/>
        </w:rPr>
        <w:t xml:space="preserve">przyjętych </w:t>
      </w:r>
      <w:r>
        <w:rPr/>
        <w:t xml:space="preserve">w </w:t>
      </w:r>
      <w:r>
        <w:rPr>
          <w:spacing w:val="-4"/>
        </w:rPr>
        <w:t xml:space="preserve">trakcie </w:t>
      </w:r>
      <w:r>
        <w:rPr>
          <w:spacing w:val="-7"/>
        </w:rPr>
        <w:t xml:space="preserve">odbiorów </w:t>
      </w:r>
      <w:r>
        <w:rPr>
          <w:spacing w:val="-6"/>
        </w:rPr>
        <w:t xml:space="preserve">robót </w:t>
      </w:r>
      <w:r>
        <w:rPr>
          <w:spacing w:val="-7"/>
        </w:rPr>
        <w:t xml:space="preserve">zanikających </w:t>
      </w:r>
      <w:r>
        <w:rPr/>
        <w:t xml:space="preserve">i </w:t>
      </w:r>
      <w:r>
        <w:rPr>
          <w:spacing w:val="-7"/>
        </w:rPr>
        <w:t xml:space="preserve">ulegających </w:t>
      </w:r>
      <w:r>
        <w:rPr>
          <w:spacing w:val="-6"/>
        </w:rPr>
        <w:t xml:space="preserve">zakryciu.               </w:t>
      </w:r>
      <w:r>
        <w:rPr/>
        <w:t xml:space="preserve">W </w:t>
      </w:r>
      <w:r>
        <w:rPr>
          <w:spacing w:val="-7"/>
        </w:rPr>
        <w:t xml:space="preserve">przypadkach niewykonania wyznaczonych </w:t>
      </w:r>
      <w:r>
        <w:rPr>
          <w:spacing w:val="-4"/>
        </w:rPr>
        <w:t xml:space="preserve">robót </w:t>
      </w:r>
      <w:r>
        <w:rPr>
          <w:spacing w:val="-5"/>
        </w:rPr>
        <w:t xml:space="preserve">poprawkowych </w:t>
      </w:r>
      <w:r>
        <w:rPr>
          <w:spacing w:val="-4"/>
        </w:rPr>
        <w:t xml:space="preserve">lub robót </w:t>
      </w:r>
      <w:r>
        <w:rPr>
          <w:spacing w:val="-5"/>
        </w:rPr>
        <w:t xml:space="preserve">uzupełniających                 </w:t>
      </w:r>
      <w:r>
        <w:rPr/>
        <w:t xml:space="preserve">w </w:t>
      </w:r>
      <w:r>
        <w:rPr>
          <w:spacing w:val="-4"/>
        </w:rPr>
        <w:t xml:space="preserve">robotach </w:t>
      </w:r>
      <w:r>
        <w:rPr>
          <w:spacing w:val="-5"/>
        </w:rPr>
        <w:t xml:space="preserve">wykończeniowych, </w:t>
      </w:r>
      <w:r>
        <w:rPr>
          <w:spacing w:val="-4"/>
        </w:rPr>
        <w:t xml:space="preserve">komisja przerwie </w:t>
      </w:r>
      <w:r>
        <w:rPr>
          <w:spacing w:val="-6"/>
        </w:rPr>
        <w:t xml:space="preserve">swoje </w:t>
      </w:r>
      <w:r>
        <w:rPr>
          <w:spacing w:val="-8"/>
        </w:rPr>
        <w:t xml:space="preserve">czynności </w:t>
      </w:r>
      <w:r>
        <w:rPr/>
        <w:t xml:space="preserve">i </w:t>
      </w:r>
      <w:r>
        <w:rPr>
          <w:spacing w:val="-7"/>
        </w:rPr>
        <w:t xml:space="preserve">ustali nowy </w:t>
      </w:r>
      <w:r>
        <w:rPr>
          <w:spacing w:val="-6"/>
        </w:rPr>
        <w:t xml:space="preserve">termin </w:t>
      </w:r>
      <w:r>
        <w:rPr>
          <w:spacing w:val="-7"/>
        </w:rPr>
        <w:t xml:space="preserve">odbioru </w:t>
      </w:r>
      <w:r>
        <w:rPr>
          <w:spacing w:val="-8"/>
        </w:rPr>
        <w:t xml:space="preserve">końcowego. </w:t>
      </w:r>
      <w:r>
        <w:rPr>
          <w:spacing w:val="-7"/>
        </w:rPr>
        <w:t xml:space="preserve">Podstawowym dokumentem </w:t>
      </w:r>
      <w:r>
        <w:rPr>
          <w:spacing w:val="-5"/>
        </w:rPr>
        <w:t xml:space="preserve">do </w:t>
      </w:r>
      <w:r>
        <w:rPr>
          <w:spacing w:val="-7"/>
        </w:rPr>
        <w:t xml:space="preserve">dokonania </w:t>
      </w:r>
      <w:r>
        <w:rPr>
          <w:spacing w:val="-6"/>
        </w:rPr>
        <w:t xml:space="preserve">odbioru </w:t>
      </w:r>
      <w:r>
        <w:rPr>
          <w:spacing w:val="-7"/>
        </w:rPr>
        <w:t xml:space="preserve">końcowego </w:t>
      </w:r>
      <w:r>
        <w:rPr>
          <w:spacing w:val="-6"/>
        </w:rPr>
        <w:t xml:space="preserve">jest </w:t>
      </w:r>
      <w:r>
        <w:rPr>
          <w:spacing w:val="-7"/>
        </w:rPr>
        <w:t xml:space="preserve">protokół </w:t>
      </w:r>
      <w:r>
        <w:rPr>
          <w:spacing w:val="-6"/>
        </w:rPr>
        <w:t xml:space="preserve">odbioru </w:t>
      </w:r>
      <w:r>
        <w:rPr>
          <w:spacing w:val="-7"/>
        </w:rPr>
        <w:t xml:space="preserve"> końcowego </w:t>
      </w:r>
      <w:r>
        <w:rPr>
          <w:spacing w:val="-9"/>
        </w:rPr>
        <w:t xml:space="preserve">robót, </w:t>
      </w:r>
      <w:r>
        <w:rPr>
          <w:spacing w:val="-10"/>
        </w:rPr>
        <w:t xml:space="preserve">sporządzony </w:t>
      </w:r>
      <w:r>
        <w:rPr>
          <w:spacing w:val="-5"/>
        </w:rPr>
        <w:t xml:space="preserve">wg </w:t>
      </w:r>
      <w:r>
        <w:rPr>
          <w:spacing w:val="-8"/>
        </w:rPr>
        <w:t xml:space="preserve">wzoru </w:t>
      </w:r>
      <w:r>
        <w:rPr>
          <w:spacing w:val="-9"/>
        </w:rPr>
        <w:t xml:space="preserve">ustalonego </w:t>
      </w:r>
      <w:r>
        <w:rPr>
          <w:spacing w:val="-8"/>
        </w:rPr>
        <w:t xml:space="preserve">przez </w:t>
      </w:r>
      <w:r>
        <w:rPr>
          <w:spacing w:val="-9"/>
        </w:rPr>
        <w:t xml:space="preserve">Zamawiającego. </w:t>
      </w:r>
      <w:r>
        <w:rPr>
          <w:spacing w:val="-5"/>
        </w:rPr>
        <w:t xml:space="preserve">Do </w:t>
      </w:r>
      <w:r>
        <w:rPr>
          <w:spacing w:val="-9"/>
        </w:rPr>
        <w:t xml:space="preserve">odbioru </w:t>
      </w:r>
      <w:r>
        <w:rPr>
          <w:spacing w:val="-10"/>
        </w:rPr>
        <w:t xml:space="preserve">końcowego </w:t>
      </w:r>
      <w:r>
        <w:rPr>
          <w:spacing w:val="-9"/>
        </w:rPr>
        <w:t xml:space="preserve">Wykonawca robót budowlanych </w:t>
      </w:r>
      <w:r>
        <w:rPr>
          <w:spacing w:val="-8"/>
        </w:rPr>
        <w:t xml:space="preserve">jest zobowiązany przygotować następujące dokumenty: </w:t>
      </w:r>
    </w:p>
    <w:p>
      <w:pPr>
        <w:pStyle w:val="Podstawowy"/>
        <w:numPr>
          <w:ilvl w:val="1"/>
          <w:numId w:val="19"/>
        </w:numPr>
        <w:tabs>
          <w:tab w:val="left" w:pos="1073" w:leader="none"/>
          <w:tab w:val="left" w:pos="1365" w:leader="none"/>
        </w:tabs>
        <w:spacing w:lineRule="auto" w:line="276"/>
        <w:jc w:val="both"/>
        <w:rPr/>
      </w:pPr>
      <w:r>
        <w:rPr/>
        <w:t xml:space="preserve">dokumentację  projektową  powykonawczą; </w:t>
      </w:r>
    </w:p>
    <w:p>
      <w:pPr>
        <w:pStyle w:val="Normal"/>
        <w:numPr>
          <w:ilvl w:val="1"/>
          <w:numId w:val="19"/>
        </w:numPr>
        <w:spacing w:lineRule="auto" w:line="276"/>
        <w:jc w:val="both"/>
        <w:rPr/>
      </w:pPr>
      <w:r>
        <w:rPr/>
        <w:t>protokoły badań, sprawdzeń;</w:t>
      </w:r>
    </w:p>
    <w:p>
      <w:pPr>
        <w:pStyle w:val="Normal"/>
        <w:numPr>
          <w:ilvl w:val="1"/>
          <w:numId w:val="19"/>
        </w:numPr>
        <w:spacing w:lineRule="auto" w:line="276"/>
        <w:jc w:val="both"/>
        <w:rPr/>
      </w:pPr>
      <w:r>
        <w:rPr>
          <w:spacing w:val="-8"/>
        </w:rPr>
        <w:t xml:space="preserve">dokumenty </w:t>
      </w:r>
      <w:r>
        <w:rPr>
          <w:spacing w:val="-9"/>
        </w:rPr>
        <w:t xml:space="preserve">poświadczające </w:t>
      </w:r>
      <w:r>
        <w:rPr>
          <w:spacing w:val="-8"/>
        </w:rPr>
        <w:t xml:space="preserve">jakość </w:t>
      </w:r>
      <w:r>
        <w:rPr>
          <w:spacing w:val="-9"/>
        </w:rPr>
        <w:t xml:space="preserve">wbudowanych </w:t>
      </w:r>
      <w:r>
        <w:rPr>
          <w:spacing w:val="-8"/>
        </w:rPr>
        <w:t>materiałów.</w:t>
      </w:r>
    </w:p>
    <w:p>
      <w:pPr>
        <w:pStyle w:val="Normal"/>
        <w:numPr>
          <w:ilvl w:val="0"/>
          <w:numId w:val="20"/>
        </w:numPr>
        <w:jc w:val="both"/>
        <w:rPr/>
      </w:pPr>
      <w:r>
        <w:rPr/>
        <w:t xml:space="preserve">W </w:t>
      </w:r>
      <w:r>
        <w:rPr>
          <w:spacing w:val="-10"/>
        </w:rPr>
        <w:t xml:space="preserve">przypadku, </w:t>
      </w:r>
      <w:r>
        <w:rPr>
          <w:spacing w:val="-7"/>
        </w:rPr>
        <w:t xml:space="preserve">gdy </w:t>
      </w:r>
      <w:r>
        <w:rPr>
          <w:spacing w:val="-8"/>
        </w:rPr>
        <w:t xml:space="preserve">według </w:t>
      </w:r>
      <w:r>
        <w:rPr>
          <w:spacing w:val="-9"/>
        </w:rPr>
        <w:t xml:space="preserve">Komisji, roboty </w:t>
      </w:r>
      <w:r>
        <w:rPr>
          <w:spacing w:val="-7"/>
        </w:rPr>
        <w:t xml:space="preserve">pod </w:t>
      </w:r>
      <w:r>
        <w:rPr>
          <w:spacing w:val="-9"/>
        </w:rPr>
        <w:t xml:space="preserve">względem </w:t>
      </w:r>
      <w:r>
        <w:rPr>
          <w:spacing w:val="-10"/>
        </w:rPr>
        <w:t xml:space="preserve">przygotowania dokumentacyjnego </w:t>
      </w:r>
      <w:r>
        <w:rPr>
          <w:spacing w:val="-7"/>
        </w:rPr>
        <w:t xml:space="preserve">nie </w:t>
      </w:r>
      <w:r>
        <w:rPr>
          <w:spacing w:val="-8"/>
        </w:rPr>
        <w:t xml:space="preserve">będą </w:t>
      </w:r>
      <w:r>
        <w:rPr>
          <w:spacing w:val="-6"/>
        </w:rPr>
        <w:t xml:space="preserve">gotowe </w:t>
      </w:r>
      <w:r>
        <w:rPr>
          <w:spacing w:val="-5"/>
        </w:rPr>
        <w:t xml:space="preserve">do </w:t>
      </w:r>
      <w:r>
        <w:rPr>
          <w:spacing w:val="-7"/>
        </w:rPr>
        <w:t xml:space="preserve">odbioru </w:t>
      </w:r>
      <w:r>
        <w:rPr>
          <w:spacing w:val="-8"/>
        </w:rPr>
        <w:t xml:space="preserve">końcowego, </w:t>
      </w:r>
      <w:r>
        <w:rPr>
          <w:spacing w:val="-7"/>
        </w:rPr>
        <w:t xml:space="preserve">komisja </w:t>
      </w:r>
      <w:r>
        <w:rPr/>
        <w:t xml:space="preserve">w </w:t>
      </w:r>
      <w:r>
        <w:rPr>
          <w:spacing w:val="-8"/>
        </w:rPr>
        <w:t xml:space="preserve">porozumieniu </w:t>
      </w:r>
      <w:r>
        <w:rPr/>
        <w:t xml:space="preserve">z </w:t>
      </w:r>
      <w:r>
        <w:rPr>
          <w:spacing w:val="-8"/>
        </w:rPr>
        <w:t xml:space="preserve">Wykonawcą robót budowlanych, wyznaczy ponowny </w:t>
      </w:r>
      <w:r>
        <w:rPr>
          <w:spacing w:val="-7"/>
        </w:rPr>
        <w:t xml:space="preserve">termin odbioru końcowego </w:t>
      </w:r>
      <w:r>
        <w:rPr>
          <w:spacing w:val="-6"/>
        </w:rPr>
        <w:t xml:space="preserve">robót. </w:t>
      </w:r>
      <w:r>
        <w:rPr>
          <w:spacing w:val="-7"/>
        </w:rPr>
        <w:t xml:space="preserve">Zarządzone </w:t>
      </w:r>
      <w:r>
        <w:rPr>
          <w:spacing w:val="-6"/>
        </w:rPr>
        <w:t xml:space="preserve">przez komisję roboty </w:t>
      </w:r>
      <w:r>
        <w:rPr>
          <w:spacing w:val="-7"/>
        </w:rPr>
        <w:t xml:space="preserve">poprawkowe </w:t>
      </w:r>
      <w:r>
        <w:rPr>
          <w:spacing w:val="-5"/>
        </w:rPr>
        <w:t xml:space="preserve">lub </w:t>
      </w:r>
      <w:r>
        <w:rPr>
          <w:spacing w:val="-7"/>
        </w:rPr>
        <w:t xml:space="preserve">uzupełniające </w:t>
      </w:r>
      <w:r>
        <w:rPr>
          <w:spacing w:val="-6"/>
        </w:rPr>
        <w:t xml:space="preserve">będą </w:t>
      </w:r>
      <w:r>
        <w:rPr>
          <w:spacing w:val="-7"/>
        </w:rPr>
        <w:t xml:space="preserve">zestawione </w:t>
      </w:r>
      <w:r>
        <w:rPr>
          <w:spacing w:val="-4"/>
        </w:rPr>
        <w:t xml:space="preserve">wg </w:t>
      </w:r>
      <w:r>
        <w:rPr/>
        <w:t>wzoru ustalonego przez Zamawiającego. Termin wykonania robót poprawkowych i uzupełniających wyznaczy komisja.</w:t>
      </w:r>
    </w:p>
    <w:p>
      <w:pPr>
        <w:pStyle w:val="Normal"/>
        <w:numPr>
          <w:ilvl w:val="0"/>
          <w:numId w:val="20"/>
        </w:numPr>
        <w:jc w:val="both"/>
        <w:rPr/>
      </w:pPr>
      <w:r>
        <w:rPr/>
        <w:t xml:space="preserve">Jeżeli w czasie odbioru zostaną stwierdzone Wady, Zamawiającemu przysługują następujące uprawnienia: </w:t>
      </w:r>
    </w:p>
    <w:p>
      <w:pPr>
        <w:pStyle w:val="Normal"/>
        <w:widowControl/>
        <w:numPr>
          <w:ilvl w:val="0"/>
          <w:numId w:val="22"/>
        </w:numPr>
        <w:suppressAutoHyphens w:val="true"/>
        <w:bidi w:val="0"/>
        <w:spacing w:lineRule="auto" w:line="259" w:before="0" w:after="160"/>
        <w:ind w:hanging="340" w:left="1077" w:right="0"/>
        <w:jc w:val="both"/>
        <w:rPr/>
      </w:pPr>
      <w:r>
        <w:rPr/>
        <w:t>jeżeli Wady kwalifikują się do usunięcia i stanowią Wady nieistotne, Zamawiający podpisze Protokół odbioru końcowego przedmiotu Umowy ze wskazaniem Wad i jednocześnie wyznaczy Wykonawcy termin ich usunięcia. Wykonawca zobowiązany jest do pisemnego zawiadomienia Zamawiającego o usunięciu wad. W przypadku nieusunięcia wad w wyznaczonym terminie, Zamawiającemu przysługują uprawnienia z tytułu rękojmi i gwarancji za Wady oraz pozostałe uprawnienia zgodnie z Umową i przepisami prawa.</w:t>
      </w:r>
    </w:p>
    <w:p>
      <w:pPr>
        <w:pStyle w:val="Normal"/>
        <w:numPr>
          <w:ilvl w:val="1"/>
          <w:numId w:val="21"/>
        </w:numPr>
        <w:jc w:val="both"/>
        <w:rPr/>
      </w:pPr>
      <w:r>
        <w:rPr/>
        <w:t xml:space="preserve">jeżeli jednak wady nie kwalifikują się do usunięcia i stanowią Wady nieistotne, albo Wykonawca nie usunął tych Wad we wskazanym terminie, Zamawiający może obniżyć wynagrodzenie Wykonawcy o stwierdzoną szacunkową wartość tych Wad; </w:t>
      </w:r>
    </w:p>
    <w:p>
      <w:pPr>
        <w:pStyle w:val="Normal"/>
        <w:numPr>
          <w:ilvl w:val="1"/>
          <w:numId w:val="21"/>
        </w:numPr>
        <w:jc w:val="both"/>
        <w:rPr/>
      </w:pPr>
      <w:r>
        <w:rPr/>
        <w:t xml:space="preserve">jeżeli wady kwalifikują się do usunięcia i stanowią Wady istotne, Zamawiający nie podpisze Protokołu odbioru końcowego, wskaże Wykonawcy Wady i jednocześnie wyznaczy Wykonawcy termin ich usunięcia. Wykonawca zobowiązany jest do pisemnego zawiadomienia Zamawiającego o usunięciu Wad. Po usunięciu Wad istotnych stwierdzonych w toku odbioru zostanie sporządzony przez Zamawiającego i Wykonawcę Protokół odbioru końcowego, który będzie podstawą do wystawienia przez Wykonawcę faktury końcowej; </w:t>
      </w:r>
    </w:p>
    <w:p>
      <w:pPr>
        <w:pStyle w:val="Normal"/>
        <w:numPr>
          <w:ilvl w:val="1"/>
          <w:numId w:val="21"/>
        </w:numPr>
        <w:jc w:val="both"/>
        <w:rPr/>
      </w:pPr>
      <w:r>
        <w:rPr/>
        <w:t>w przypadku nieusunięcia Wad istotnych we wskazanym terminie, Zamawiający może sporządzić Protokół odbioru końcowego z zastrzeżeniem nieusuniętych Wad istotnych i z wyszczególnieniem szacunkowej wartości tych Wad. Protokół ten będzie podstawą do wystawienia faktury końcowej przez Wykonawcę robót budowlanych oraz do potrącenia przez Zamawiającego kwoty szacunkowej wartości wad z wynagrodzenia Wykonawcy lub z zabezpieczenia należytego wykonania Umowy. Po podpisaniu Protokołu odbioru końcowego z zastrzeżeniem nieusuniętych Wad i z wyszczególnieniem szacunkowej wartości tych wad, Zamawiający może przystąpić do usuwania Wad we własnym zakresie;</w:t>
      </w:r>
    </w:p>
    <w:p>
      <w:pPr>
        <w:pStyle w:val="Normal"/>
        <w:numPr>
          <w:ilvl w:val="0"/>
          <w:numId w:val="20"/>
        </w:numPr>
        <w:jc w:val="both"/>
        <w:rPr/>
      </w:pPr>
      <w:r>
        <w:rPr/>
        <w:t xml:space="preserve">Zamawiający może także odstąpić od Umowy (w całości lub w części), jeżeli Wady istotne usunąć się nie dadzą lub z okoliczności wynika, że Wykonawca nie zdoła ich usunąć w czasie odpowiednim lub gdy Wykonawca robót budowlanych nie usunął Wad istotnych w wyznaczonym przez Zamawiającego terminie. W takim przypadku Zamawiający może odstąpić od Umowy (w całości lub w części), w terminie 60 dni od dnia stwierdzenia braku możliwości usunięcia Wad lub od dnia upływu wyznaczonego Wykonawcy robót budowlanych terminu usunięcia Wad. Jeśli Wykonawca nie będzie należycie współpracował z Zamawiającym, lub tempo usuwania Wad będzie przyczyniało się do opóźnień w odebraniu Inwestycji, Zamawiający zastrzega sobie upoważnienie do samodzielnego usunięcia wad lub zlecenia usunięcia wad innemu podmiotowi (wykonawstwo zastępcze), na koszt i ryzyko Wykonawcy (bez zgody sądu), po bezskutecznym upływie terminu, wyznaczonego w wezwaniu Wykonawcy robót budowlanych do usunięcia wad, bez konieczności ponownego wezwania, na co Wykonawca wyraża zgodę. Wartość robót wykonanych wadliwie oraz wartość kosztów usunięcia wad zostaną ustalone w pierwszej kolejności w oparciu o kosztorys ofertowy Wykonawcy, a także powszechnie stosowane mechanizmy wyceny robót dodatkowych, zamiennych i zaniechanych. W przypadku wykonania zastępczego – roszczenie Zamawiającego obejmować będzie pełen poniesiony koszt wykonania robót. </w:t>
      </w:r>
    </w:p>
    <w:p>
      <w:pPr>
        <w:pStyle w:val="Podstawowy"/>
        <w:numPr>
          <w:ilvl w:val="0"/>
          <w:numId w:val="0"/>
        </w:numPr>
        <w:tabs>
          <w:tab w:val="clear" w:pos="1365"/>
          <w:tab w:val="left" w:pos="390" w:leader="none"/>
        </w:tabs>
        <w:spacing w:lineRule="auto" w:line="276"/>
        <w:ind w:hanging="0" w:left="72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Podstawowy"/>
        <w:numPr>
          <w:ilvl w:val="0"/>
          <w:numId w:val="0"/>
        </w:numPr>
        <w:spacing w:lineRule="auto" w:line="276"/>
        <w:ind w:hanging="0" w:left="57"/>
        <w:jc w:val="center"/>
        <w:rPr/>
      </w:pPr>
      <w:r>
        <w:rPr>
          <w:b/>
          <w:bCs/>
          <w:color w:val="3465A4"/>
          <w:sz w:val="24"/>
          <w:szCs w:val="24"/>
        </w:rPr>
        <w:t xml:space="preserve"> </w:t>
      </w:r>
      <w:r>
        <w:rPr>
          <w:b/>
          <w:bCs/>
          <w:color w:val="3465A4"/>
          <w:sz w:val="24"/>
          <w:szCs w:val="24"/>
        </w:rPr>
        <w:t>V DOKUMENTACJA</w:t>
      </w:r>
      <w:bookmarkStart w:id="7" w:name="_Toc182551936_kopia_1_kopia_1"/>
      <w:r>
        <w:rPr>
          <w:b/>
          <w:bCs/>
          <w:color w:val="3465A4"/>
          <w:sz w:val="24"/>
          <w:szCs w:val="24"/>
        </w:rPr>
        <w:t xml:space="preserve"> ZAWIERAJĄCA SZCZEGÓŁOWY</w:t>
      </w:r>
      <w:bookmarkEnd w:id="7"/>
      <w:r>
        <w:rPr>
          <w:b/>
          <w:bCs/>
          <w:color w:val="3465A4"/>
          <w:sz w:val="24"/>
          <w:szCs w:val="24"/>
        </w:rPr>
        <w:t xml:space="preserve"> OPIS PRZEDMIOTU  NADZORU</w:t>
      </w:r>
    </w:p>
    <w:p>
      <w:pPr>
        <w:pStyle w:val="Podstawowy"/>
        <w:numPr>
          <w:ilvl w:val="0"/>
          <w:numId w:val="0"/>
        </w:numPr>
        <w:spacing w:lineRule="auto" w:line="276"/>
        <w:ind w:hanging="0" w:left="113"/>
        <w:rPr/>
      </w:pPr>
      <w:r>
        <w:rPr/>
        <w:t xml:space="preserve">       </w:t>
      </w:r>
      <w:r>
        <w:rPr>
          <w:lang w:eastAsia="pl-PL"/>
        </w:rPr>
        <w:t xml:space="preserve">Wykonawca w ramach realizacji  przedmiotu Umowy, zobowiązany jest  uwzględnić w swojej ofercie materiały udostępnione przez Zamawiającego. </w:t>
      </w:r>
      <w:r>
        <w:rPr>
          <w:b w:val="false"/>
          <w:bCs w:val="false"/>
          <w:sz w:val="22"/>
          <w:szCs w:val="22"/>
          <w:lang w:eastAsia="pl-PL"/>
        </w:rPr>
        <w:t xml:space="preserve">Szczegółowy opis zakresu robót budowlanych zawarty jest w </w:t>
      </w:r>
      <w:r>
        <w:rPr>
          <w:rStyle w:val="Domylnaczcionkaakapitu"/>
          <w:rFonts w:eastAsia="Calibri" w:cs="Calibri"/>
          <w:b w:val="false"/>
          <w:bCs w:val="false"/>
          <w:i w:val="false"/>
          <w:strike w:val="false"/>
          <w:dstrike w:val="false"/>
          <w:color w:val="000000"/>
          <w:sz w:val="22"/>
          <w:szCs w:val="22"/>
          <w:shd w:fill="FFFFFF" w:val="clear"/>
          <w:lang w:val="pl-PL" w:eastAsia="en-US" w:bidi="he-IL"/>
        </w:rPr>
        <w:t>pełnobranżowej dokumentacji</w:t>
      </w:r>
      <w:r>
        <w:rPr>
          <w:rStyle w:val="Domylnaczcionkaakapitu"/>
          <w:rFonts w:eastAsia="ヒラギノ角ゴ Pro W3" w:cs="Calibri"/>
          <w:b w:val="false"/>
          <w:bCs w:val="false"/>
          <w:i w:val="false"/>
          <w:strike w:val="false"/>
          <w:dstrike w:val="false"/>
          <w:color w:val="000000"/>
          <w:sz w:val="22"/>
          <w:szCs w:val="22"/>
          <w:shd w:fill="FFFFFF" w:val="clear"/>
          <w:lang w:val="pl-PL" w:eastAsia="en-US" w:bidi="he-IL"/>
        </w:rPr>
        <w:t xml:space="preserve"> projektowej wykonawczej, </w:t>
      </w:r>
      <w:r>
        <w:rPr>
          <w:rStyle w:val="Domylnaczcionkaakapitu"/>
          <w:rFonts w:eastAsia="Calibri" w:cs="Calibri"/>
          <w:b w:val="false"/>
          <w:bCs w:val="false"/>
          <w:i w:val="false"/>
          <w:strike w:val="false"/>
          <w:dstrike w:val="false"/>
          <w:color w:val="000000"/>
          <w:sz w:val="22"/>
          <w:szCs w:val="22"/>
          <w:shd w:fill="FFFFFF" w:val="clear"/>
          <w:lang w:val="pl-PL" w:eastAsia="en-US" w:bidi="ar-SA"/>
        </w:rPr>
        <w:t xml:space="preserve">opracowanej przez pracownię projektową ARCHIMMODICUS Sp. z o. o. sp. k., </w:t>
      </w:r>
      <w:r>
        <w:rPr>
          <w:b w:val="false"/>
          <w:bCs w:val="false"/>
          <w:sz w:val="22"/>
          <w:szCs w:val="22"/>
          <w:lang w:eastAsia="pl-PL"/>
        </w:rPr>
        <w:t>pn. :</w:t>
      </w:r>
      <w:r>
        <w:rPr>
          <w:rStyle w:val="Domylnaczcionkaakapitu"/>
          <w:rFonts w:cs="Calibri"/>
          <w:b w:val="false"/>
          <w:bCs w:val="false"/>
          <w:sz w:val="22"/>
          <w:szCs w:val="22"/>
          <w:lang w:eastAsia="pl-PL"/>
        </w:rPr>
        <w:t xml:space="preserve"> „</w:t>
      </w:r>
      <w:bookmarkStart w:id="8" w:name="_Hlk167776288_kopia_1"/>
      <w:r>
        <w:rPr>
          <w:b w:val="false"/>
          <w:bCs w:val="false"/>
          <w:sz w:val="22"/>
          <w:szCs w:val="22"/>
          <w:lang w:eastAsia="pl-PL"/>
        </w:rPr>
        <w:t>Remont (modernizacja) Oddziału Wewnętrznego Nr IX na 2 piętrze w budynku A,  znajdującego się w Wojewódzkim Szpitalu Specjalistycznym im. J. Gromkowskiego we Wrocławiu</w:t>
      </w:r>
      <w:bookmarkEnd w:id="8"/>
      <w:r>
        <w:rPr>
          <w:rFonts w:eastAsia="Calibri" w:cs="" w:cstheme="minorBidi" w:eastAsiaTheme="minorHAnsi"/>
          <w:b w:val="false"/>
          <w:bCs w:val="false"/>
          <w:color w:val="auto"/>
          <w:kern w:val="2"/>
          <w:sz w:val="22"/>
          <w:szCs w:val="22"/>
          <w:lang w:val="pl-PL" w:eastAsia="en-US" w:bidi="ar-SA"/>
          <w14:ligatures w14:val="standardContextual"/>
        </w:rPr>
        <w:t>”.</w:t>
      </w:r>
      <w:r>
        <w:rPr>
          <w:b w:val="false"/>
          <w:bCs w:val="false"/>
          <w:sz w:val="22"/>
          <w:szCs w:val="22"/>
          <w:lang w:eastAsia="pl-PL"/>
        </w:rPr>
        <w:t xml:space="preserve">   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/>
        <w:t>Projekt wykonawczy branża architektoniczno – budowlana składający się z: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A-01 RZUT I PIĘTRA – INWENTARYZACJA;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A-02 RZUT I PIĘTRA – WYBURZENIA;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A-03 RZUT I PIĘTRA – PROJEKT;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A-04 PRZEKRÓJ A-A;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AW-01 WYKOŃCZENIE POSADZEK-RZUT;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AW-02 SUFITY-RZUT;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AW-03 WYKOŃCZENIE ŚCIAN-RZUT;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AW-04 OCHRONA ŚCIAN I NAROŻNIKÓW_RZUT;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AW-05 ZESTAWIENIE TABLICZEK IDENTYFIKACJI WIZUALNEJ;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AW-06 LOKALIZACJA TABLICZEK IDENTYFIKACJI WIZUALNEJ-RZUT;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AW-07 ZESTAWIENIE KOLORYSTYKI WYKOŃCZENIA;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Z-01 ZESTAWIENIE DRZWI;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Z-02 ZESTAWIENIE WITRYN;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Z-03 ZESTAWIENIE OKIEN;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>
          <w:rFonts w:cs="Calibri" w:cstheme="minorHAnsi"/>
        </w:rPr>
        <w:t>ZESTAWIENIE ARMATURY, BIAŁEGO MONTAŻU I WYPOSAŻENIA ŁAZIENEK.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/>
        <w:t>Projekt wykonawczy instalacje sanitarne.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/>
        <w:t>Projekt wykonawczy instalacje elektryczne i teletechniczne.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/>
        <w:t>Projekt wykonawczy gazy medyczne.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/>
        <w:t>Projekt wykonawczy technologii medycznej.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/>
        <w:t>Specyfikacje techniczne wykonania i odbioru robót budowlanych w branżach:</w:t>
      </w:r>
    </w:p>
    <w:p>
      <w:pPr>
        <w:pStyle w:val="ListParagraph"/>
        <w:numPr>
          <w:ilvl w:val="1"/>
          <w:numId w:val="17"/>
        </w:numPr>
        <w:spacing w:lineRule="auto" w:line="276"/>
        <w:rPr/>
      </w:pPr>
      <w:r>
        <w:rPr/>
        <w:t>BRANŻA BUDOWLANA (ARCHITEKTURA);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INSTALACJE SANITARNE;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INSTALACJE ELEKTRYCZNE;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GAZY MEDYCZNE.</w:t>
      </w:r>
    </w:p>
    <w:p>
      <w:pPr>
        <w:pStyle w:val="ListParagraph"/>
        <w:numPr>
          <w:ilvl w:val="0"/>
          <w:numId w:val="17"/>
        </w:numPr>
        <w:spacing w:lineRule="auto" w:line="276"/>
        <w:rPr>
          <w:rFonts w:ascii="Calibri" w:hAnsi="Calibri"/>
        </w:rPr>
      </w:pPr>
      <w:r>
        <w:rPr/>
        <w:t>Przedmiary w branżach: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BRANŻA BUDOWLANA (ARCHITEKTURA);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INSTALACJE SANITARNE;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INSTALACJE ELEKTRYCZNE;</w:t>
      </w:r>
    </w:p>
    <w:p>
      <w:pPr>
        <w:pStyle w:val="ListParagraph"/>
        <w:numPr>
          <w:ilvl w:val="1"/>
          <w:numId w:val="17"/>
        </w:numPr>
        <w:spacing w:lineRule="auto" w:line="276"/>
        <w:rPr>
          <w:rFonts w:ascii="Calibri" w:hAnsi="Calibri"/>
        </w:rPr>
      </w:pPr>
      <w:r>
        <w:rPr/>
        <w:t>GAZY MEDYCZNE.</w:t>
      </w:r>
    </w:p>
    <w:p>
      <w:pPr>
        <w:pStyle w:val="ListParagraph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hanging="0" w:left="964" w:right="0"/>
        <w:contextualSpacing/>
        <w:jc w:val="both"/>
        <w:rPr>
          <w:rFonts w:ascii="Calibri" w:hAnsi="Calibri"/>
        </w:rPr>
      </w:pPr>
      <w:r>
        <w:rPr>
          <w:rFonts w:eastAsia="SimSun" w:cs=""/>
          <w:color w:val="auto"/>
          <w:kern w:val="0"/>
          <w:sz w:val="22"/>
          <w:szCs w:val="22"/>
          <w:lang w:val="pl-PL" w:eastAsia="en-US" w:bidi="ar-SA"/>
          <w14:ligatures w14:val="none"/>
        </w:rPr>
        <w:t>o</w:t>
      </w:r>
      <w:r>
        <w:rPr/>
        <w:t>raz opracowanie pn.:</w:t>
      </w:r>
    </w:p>
    <w:p>
      <w:pPr>
        <w:pStyle w:val="ListParagraph"/>
        <w:numPr>
          <w:ilvl w:val="0"/>
          <w:numId w:val="17"/>
        </w:numPr>
        <w:spacing w:lineRule="auto" w:line="276"/>
        <w:rPr/>
      </w:pPr>
      <w:r>
        <w:rPr>
          <w:rFonts w:cs="Arial"/>
          <w:color w:val="000000"/>
          <w:lang w:eastAsia="zh-CN"/>
        </w:rPr>
        <w:t xml:space="preserve">Projekt wykonania toalety dla niepełnosprawnych - budynek A-1, łącznik 2 Piętro </w:t>
      </w:r>
      <w:r>
        <w:rPr/>
        <w:t>WC.</w:t>
      </w:r>
    </w:p>
    <w:p>
      <w:pPr>
        <w:pStyle w:val="ListParagraph"/>
        <w:numPr>
          <w:ilvl w:val="0"/>
          <w:numId w:val="0"/>
        </w:numPr>
        <w:spacing w:lineRule="auto" w:line="276" w:before="0" w:after="0"/>
        <w:ind w:hanging="0" w:left="1440"/>
        <w:contextualSpacing/>
        <w:rPr>
          <w:b w:val="false"/>
          <w:bCs w:val="false"/>
          <w:u w:val="none"/>
        </w:rPr>
      </w:pPr>
      <w:r>
        <w:rPr>
          <w:b w:val="false"/>
          <w:bCs w:val="false"/>
          <w:u w:val="none"/>
        </w:rPr>
      </w:r>
    </w:p>
    <w:p>
      <w:pPr>
        <w:pStyle w:val="Podstawowy"/>
        <w:numPr>
          <w:ilvl w:val="0"/>
          <w:numId w:val="0"/>
        </w:numPr>
        <w:tabs>
          <w:tab w:val="clear" w:pos="1365"/>
          <w:tab w:val="left" w:pos="285" w:leader="none"/>
        </w:tabs>
        <w:spacing w:lineRule="auto" w:line="276"/>
        <w:ind w:hanging="0" w:left="1004"/>
        <w:rPr>
          <w:rFonts w:ascii="Calibri" w:hAnsi="Calibri" w:cs="Calibri"/>
        </w:rPr>
      </w:pPr>
      <w:r>
        <w:rPr>
          <w:rFonts w:cs="Calibri"/>
        </w:rPr>
      </w:r>
    </w:p>
    <w:p>
      <w:pPr>
        <w:pStyle w:val="Podstawowy"/>
        <w:numPr>
          <w:ilvl w:val="0"/>
          <w:numId w:val="0"/>
        </w:numPr>
        <w:spacing w:lineRule="auto" w:line="276"/>
        <w:ind w:hanging="0" w:left="1004"/>
        <w:rPr>
          <w:rFonts w:ascii="Calibri" w:hAnsi="Calibri"/>
        </w:rPr>
      </w:pPr>
      <w:r>
        <w:rPr/>
      </w:r>
    </w:p>
    <w:p>
      <w:pPr>
        <w:pStyle w:val="Normal"/>
        <w:spacing w:lineRule="auto" w:line="276" w:before="0" w:after="160"/>
        <w:ind w:left="1004"/>
        <w:jc w:val="both"/>
        <w:rPr>
          <w:rFonts w:ascii="Calibri" w:hAnsi="Calibri" w:cs="Calibri"/>
        </w:rPr>
      </w:pPr>
      <w:r>
        <w:rPr>
          <w:rFonts w:cs="Calibri"/>
        </w:rPr>
      </w:r>
    </w:p>
    <w:sectPr>
      <w:footerReference w:type="even" r:id="rId4"/>
      <w:footerReference w:type="default" r:id="rId5"/>
      <w:footerReference w:type="first" r:id="rId6"/>
      <w:type w:val="nextPage"/>
      <w:pgSz w:w="11906" w:h="16838"/>
      <w:pgMar w:left="1417" w:right="1417" w:gutter="0" w:header="0" w:top="1417" w:footer="1417" w:bottom="1895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Calibri Light">
    <w:charset w:val="ee"/>
    <w:family w:val="roman"/>
    <w:pitch w:val="variable"/>
  </w:font>
  <w:font w:name="Cambria">
    <w:charset w:val="ee"/>
    <w:family w:val="roman"/>
    <w:pitch w:val="variable"/>
  </w:font>
  <w:font w:name="Tahoma">
    <w:charset w:val="ee"/>
    <w:family w:val="roman"/>
    <w:pitch w:val="variable"/>
  </w:font>
  <w:font w:name="Times New Roman">
    <w:charset w:val="ee"/>
    <w:family w:val="roman"/>
    <w:pitch w:val="variable"/>
  </w:font>
  <w:font w:name="Arial">
    <w:charset w:val="ee"/>
    <w:family w:val="swiss"/>
    <w:pitch w:val="variable"/>
  </w:font>
  <w:font w:name="OpenSymbol">
    <w:altName w:val="Arial Unicode MS"/>
    <w:charset w:val="ee"/>
    <w:family w:val="auto"/>
    <w:pitch w:val="variable"/>
  </w:font>
  <w:font w:name="Liberation Sans">
    <w:altName w:val="Arial"/>
    <w:charset w:val="ee"/>
    <w:family w:val="swiss"/>
    <w:pitch w:val="variable"/>
  </w:font>
  <w:font w:name="Calibri">
    <w:altName w:val="sans-serif"/>
    <w:charset w:val="ee"/>
    <w:family w:val="roman"/>
    <w:pitch w:val="variable"/>
  </w:font>
  <w:font w:name="Calibri">
    <w:altName w:val="Arial"/>
    <w:charset w:val="ee"/>
    <w:family w:val="roman"/>
    <w:pitch w:val="variable"/>
  </w:font>
  <w:font w:name="Wingdings">
    <w:charset w:val="02"/>
    <w:family w:val="auto"/>
    <w:pitch w:val="variable"/>
  </w:font>
  <w:font w:name="Courier New">
    <w:charset w:val="01"/>
    <w:family w:val="modern"/>
    <w:pitch w:val="fixed"/>
  </w:font>
  <w:font w:name="OpenSymbol">
    <w:altName w:val="Arial Unicode MS"/>
    <w:charset w:val="01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decimal"/>
      <w:lvlText w:val="%1"/>
      <w:lvlJc w:val="left"/>
      <w:pPr>
        <w:tabs>
          <w:tab w:val="num" w:pos="0"/>
        </w:tabs>
        <w:ind w:left="432" w:hanging="432"/>
      </w:pPr>
      <w:rPr/>
    </w:lvl>
    <w:lvl w:ilvl="1">
      <w:start w:val="1"/>
      <w:pStyle w:val="Heading2"/>
      <w:numFmt w:val="decimal"/>
      <w:lvlText w:val="%1.%2"/>
      <w:lvlJc w:val="left"/>
      <w:pPr>
        <w:tabs>
          <w:tab w:val="num" w:pos="0"/>
        </w:tabs>
        <w:ind w:left="576" w:hanging="576"/>
      </w:pPr>
      <w:rPr/>
    </w:lvl>
    <w:lvl w:ilvl="2">
      <w:start w:val="1"/>
      <w:pStyle w:val="Heading3"/>
      <w:numFmt w:val="decimal"/>
      <w:lvlText w:val="%1.%2.%3"/>
      <w:lvlJc w:val="left"/>
      <w:pPr>
        <w:tabs>
          <w:tab w:val="num" w:pos="0"/>
        </w:tabs>
        <w:ind w:left="720" w:hanging="720"/>
      </w:pPr>
      <w:rPr/>
    </w:lvl>
    <w:lvl w:ilvl="3">
      <w:start w:val="1"/>
      <w:pStyle w:val="Heading4"/>
      <w:numFmt w:val="none"/>
      <w:suff w:val="nothing"/>
      <w:lvlText w:val="%1.%2.%3.%4"/>
      <w:lvlJc w:val="left"/>
      <w:pPr>
        <w:tabs>
          <w:tab w:val="num" w:pos="0"/>
        </w:tabs>
        <w:ind w:left="1404" w:hanging="864"/>
      </w:pPr>
      <w:rPr>
        <w:smallCaps w:val="false"/>
        <w:caps w:val="false"/>
        <w:dstrike w:val="false"/>
        <w:strike w:val="false"/>
        <w:vertAlign w:val="baseline"/>
        <w:position w:val="0"/>
        <w:sz w:val="28"/>
        <w:sz w:val="28"/>
        <w:spacing w:val="0"/>
        <w:i w:val="false"/>
        <w:u w:val="none"/>
        <w:b/>
        <w:kern w:val="0"/>
        <w:effect w:val="none"/>
        <w:szCs w:val="28"/>
        <w:iCs w:val="false"/>
        <w:bCs/>
        <w:em w:val="none"/>
        <w:vanish w:val="false"/>
        <w:color w:val="auto"/>
        <w14:cntxtAlts>
          <w14:cntxtAlts/>
        </w14:cntxtAlts>
        <w14:glow w14:rad="0">
          <w14:srgbClr w14:val="000000"/>
        </w14:glow>
        <w14:ligatures w14:val="none"/>
        <w14:numForm w14:val="default"/>
        <w14:numSpacing w14:val="default"/>
        <w14:props3d w14:extrusionH="0" w14:contourW="0" w14:prstMaterial="none"/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shadow w14:blurRad="0" w14:dist="0" w14:dir="0" w14:sx="0" w14:sy="0" w14:kx="0" w14:ky="0" w14:algn="none">
          <w14:srgbClr w14:val="000000"/>
        </w14:shadow>
        <w14:stylisticSets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pStyle w:val="Heading5"/>
      <w:numFmt w:val="decimal"/>
      <w:lvlText w:val="%1.%2.%3.%4%5"/>
      <w:lvlJc w:val="left"/>
      <w:pPr>
        <w:tabs>
          <w:tab w:val="num" w:pos="0"/>
        </w:tabs>
        <w:ind w:left="1008" w:hanging="1008"/>
      </w:pPr>
      <w:rPr>
        <w:smallCaps w:val="false"/>
        <w:caps w:val="false"/>
        <w:dstrike w:val="false"/>
        <w:strike w:val="false"/>
        <w:vertAlign w:val="baseline"/>
        <w:position w:val="0"/>
        <w:sz w:val="22"/>
        <w:sz w:val="22"/>
        <w:spacing w:val="0"/>
        <w:i w:val="false"/>
        <w:u w:val="none"/>
        <w:b w:val="false"/>
        <w:kern w:val="0"/>
        <w:effect w:val="none"/>
        <w:iCs w:val="false"/>
        <w:bCs w:val="false"/>
        <w:em w:val="none"/>
        <w:vanish w:val="false"/>
        <w:color w:val="auto"/>
        <w:lang w:bidi="x-none"/>
        <w14:cntxtAlts>
          <w14:cntxtAlts/>
        </w14:cntxtAlts>
        <w14:glow w14:rad="0">
          <w14:srgbClr w14:val="000000"/>
        </w14:glow>
        <w14:ligatures w14:val="none"/>
        <w14:numForm w14:val="default"/>
        <w14:numSpacing w14:val="default"/>
        <w14:props3d w14:extrusionH="0" w14:contourW="0" w14:prstMaterial="none"/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shadow w14:blurRad="0" w14:dist="0" w14:dir="0" w14:sx="0" w14:sy="0" w14:kx="0" w14:ky="0" w14:algn="none">
          <w14:srgbClr w14:val="000000"/>
        </w14:shadow>
        <w14:stylisticSets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pStyle w:val="Heading6"/>
      <w:numFmt w:val="decimal"/>
      <w:lvlText w:val="%1.%2.%3.%4%5.%6"/>
      <w:lvlJc w:val="left"/>
      <w:pPr>
        <w:tabs>
          <w:tab w:val="num" w:pos="0"/>
        </w:tabs>
        <w:ind w:left="1152" w:hanging="1152"/>
      </w:pPr>
      <w:rPr/>
    </w:lvl>
    <w:lvl w:ilvl="6">
      <w:start w:val="1"/>
      <w:pStyle w:val="Heading7"/>
      <w:numFmt w:val="decimal"/>
      <w:lvlText w:val="%1.%2.%3.%4%5.%6.%7"/>
      <w:lvlJc w:val="left"/>
      <w:pPr>
        <w:tabs>
          <w:tab w:val="num" w:pos="0"/>
        </w:tabs>
        <w:ind w:left="1296" w:hanging="1296"/>
      </w:pPr>
      <w:rPr/>
    </w:lvl>
    <w:lvl w:ilvl="7">
      <w:start w:val="1"/>
      <w:pStyle w:val="Heading8"/>
      <w:numFmt w:val="decimal"/>
      <w:lvlText w:val="%1.%2.%3.%4%5.%6.%7.%8"/>
      <w:lvlJc w:val="left"/>
      <w:pPr>
        <w:tabs>
          <w:tab w:val="num" w:pos="0"/>
        </w:tabs>
        <w:ind w:left="1440" w:hanging="1440"/>
      </w:pPr>
      <w:rPr/>
    </w:lvl>
    <w:lvl w:ilvl="8">
      <w:start w:val="1"/>
      <w:pStyle w:val="Heading9"/>
      <w:numFmt w:val="decimal"/>
      <w:lvlText w:val="%1.%2.%3.%4%5.%6.%7.%8.%9"/>
      <w:lvlJc w:val="left"/>
      <w:pPr>
        <w:tabs>
          <w:tab w:val="num" w:pos="0"/>
        </w:tabs>
        <w:ind w:left="1584" w:hanging="1584"/>
      </w:pPr>
      <w:rPr/>
    </w:lvl>
  </w:abstractNum>
  <w:abstractNum w:abstractNumId="2"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)"/>
      <w:lvlJc w:val="left"/>
      <w:pPr>
        <w:tabs>
          <w:tab w:val="num" w:pos="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)"/>
      <w:lvlJc w:val="left"/>
      <w:pPr>
        <w:tabs>
          <w:tab w:val="num" w:pos="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)"/>
      <w:lvlJc w:val="left"/>
      <w:pPr>
        <w:tabs>
          <w:tab w:val="num" w:pos="0"/>
        </w:tabs>
        <w:ind w:left="43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)"/>
      <w:lvlJc w:val="left"/>
      <w:pPr>
        <w:tabs>
          <w:tab w:val="num" w:pos="0"/>
        </w:tabs>
        <w:ind w:left="50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)"/>
      <w:lvlJc w:val="left"/>
      <w:pPr>
        <w:tabs>
          <w:tab w:val="num" w:pos="0"/>
        </w:tabs>
        <w:ind w:left="57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)"/>
      <w:lvlJc w:val="left"/>
      <w:pPr>
        <w:tabs>
          <w:tab w:val="num" w:pos="0"/>
        </w:tabs>
        <w:ind w:left="648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0"/>
        </w:tabs>
        <w:ind w:left="0" w:hanging="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6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7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  <w:rPr/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5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16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17"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18">
    <w:lvl w:ilvl="0">
      <w:start w:val="1"/>
      <w:numFmt w:val="decimal"/>
      <w:lvlText w:val="%1)"/>
      <w:lvlJc w:val="left"/>
      <w:pPr>
        <w:tabs>
          <w:tab w:val="num" w:pos="587"/>
        </w:tabs>
        <w:ind w:left="58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lowerLetter"/>
      <w:lvlText w:val="%2)"/>
      <w:lvlJc w:val="left"/>
      <w:pPr>
        <w:tabs>
          <w:tab w:val="num" w:pos="947"/>
        </w:tabs>
        <w:ind w:left="947" w:hanging="360"/>
      </w:pPr>
      <w:rPr/>
    </w:lvl>
    <w:lvl w:ilvl="2">
      <w:start w:val="1"/>
      <w:numFmt w:val="decimal"/>
      <w:lvlText w:val="%3."/>
      <w:lvlJc w:val="left"/>
      <w:pPr>
        <w:tabs>
          <w:tab w:val="num" w:pos="1307"/>
        </w:tabs>
        <w:ind w:left="130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decimal"/>
      <w:lvlText w:val="%4."/>
      <w:lvlJc w:val="left"/>
      <w:pPr>
        <w:tabs>
          <w:tab w:val="num" w:pos="1667"/>
        </w:tabs>
        <w:ind w:left="166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decimal"/>
      <w:lvlText w:val="%5."/>
      <w:lvlJc w:val="left"/>
      <w:pPr>
        <w:tabs>
          <w:tab w:val="num" w:pos="2027"/>
        </w:tabs>
        <w:ind w:left="202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decimal"/>
      <w:lvlText w:val="%6."/>
      <w:lvlJc w:val="left"/>
      <w:pPr>
        <w:tabs>
          <w:tab w:val="num" w:pos="2387"/>
        </w:tabs>
        <w:ind w:left="238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decimal"/>
      <w:lvlText w:val="%7."/>
      <w:lvlJc w:val="left"/>
      <w:pPr>
        <w:tabs>
          <w:tab w:val="num" w:pos="2747"/>
        </w:tabs>
        <w:ind w:left="274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decimal"/>
      <w:lvlText w:val="%8."/>
      <w:lvlJc w:val="left"/>
      <w:pPr>
        <w:tabs>
          <w:tab w:val="num" w:pos="3107"/>
        </w:tabs>
        <w:ind w:left="3107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decimal"/>
      <w:lvlText w:val="%9."/>
      <w:lvlJc w:val="left"/>
      <w:pPr>
        <w:tabs>
          <w:tab w:val="num" w:pos="3467"/>
        </w:tabs>
        <w:ind w:left="3467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1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0"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  <w:rPr>
        <w:sz w:val="22"/>
        <w:szCs w:val="22"/>
        <w:rFonts w:ascii="Calibri" w:hAnsi="Calibri" w:eastAsia="Times New Roman" w:cs="Times New Roman"/>
        <w:color w:val="000000"/>
      </w:r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  <w:rPr>
        <w:sz w:val="22"/>
        <w:szCs w:val="22"/>
        <w:rFonts w:ascii="Calibri" w:hAnsi="Calibri" w:eastAsia="Times New Roman" w:cs="Times New Roman"/>
        <w:color w:val="000000"/>
      </w:rPr>
    </w:lvl>
  </w:abstractNum>
  <w:abstractNum w:abstractNumId="2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</w:numbering>
</file>

<file path=word/settings.xml><?xml version="1.0" encoding="utf-8"?>
<w:settings xmlns:w="http://schemas.openxmlformats.org/wordprocessingml/2006/main">
  <w:zoom w:percent="130"/>
  <w:trackRevisions/>
  <w:defaultTabStop w:val="720"/>
  <w:autoHyphenation w:val="true"/>
  <w:hyphenationZone w:val="36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2"/>
      <w:sz w:val="22"/>
      <w:szCs w:val="22"/>
      <w:lang w:val="pl-PL" w:eastAsia="en-US" w:bidi="ar-SA"/>
      <w14:ligatures w14:val="standardContextual"/>
    </w:rPr>
  </w:style>
  <w:style w:type="paragraph" w:styleId="Heading1">
    <w:name w:val="heading 1"/>
    <w:basedOn w:val="Normal"/>
    <w:next w:val="Normal"/>
    <w:link w:val="Nagwek1Znak"/>
    <w:uiPriority w:val="9"/>
    <w:unhideWhenUsed/>
    <w:qFormat/>
    <w:rsid w:val="00cd4de6"/>
    <w:pPr>
      <w:keepNext w:val="true"/>
      <w:keepLines/>
      <w:numPr>
        <w:ilvl w:val="0"/>
        <w:numId w:val="1"/>
      </w:numPr>
      <w:shd w:val="clear" w:color="auto" w:fill="D9D9D9" w:themeFill="background1" w:themeFillShade="d9"/>
      <w:spacing w:before="240" w:after="240"/>
      <w:jc w:val="both"/>
      <w:outlineLvl w:val="0"/>
    </w:pPr>
    <w:rPr>
      <w:rFonts w:ascii="Calibri Light" w:hAnsi="Calibri Light" w:eastAsia="" w:cs="" w:asciiTheme="majorHAnsi" w:cstheme="majorBidi" w:eastAsiaTheme="majorEastAsia" w:hAnsiTheme="majorHAnsi"/>
      <w:b/>
      <w:kern w:val="0"/>
      <w:sz w:val="36"/>
      <w:szCs w:val="32"/>
      <w:lang w:eastAsia="zh-CN"/>
      <w14:ligatures w14:val="none"/>
    </w:rPr>
  </w:style>
  <w:style w:type="paragraph" w:styleId="Heading2">
    <w:name w:val="heading 2"/>
    <w:basedOn w:val="Normal"/>
    <w:next w:val="Normal"/>
    <w:link w:val="Nagwek2Znak"/>
    <w:uiPriority w:val="9"/>
    <w:unhideWhenUsed/>
    <w:qFormat/>
    <w:rsid w:val="00cd4de6"/>
    <w:pPr>
      <w:keepNext w:val="true"/>
      <w:keepLines/>
      <w:numPr>
        <w:ilvl w:val="1"/>
        <w:numId w:val="1"/>
      </w:numPr>
      <w:shd w:val="clear" w:color="auto" w:fill="DEEAF6" w:themeFill="accent5" w:themeFillTint="33"/>
      <w:tabs>
        <w:tab w:val="clear" w:pos="720"/>
        <w:tab w:val="left" w:pos="567" w:leader="none"/>
      </w:tabs>
      <w:spacing w:lineRule="auto" w:line="252" w:before="240" w:after="120"/>
      <w:ind w:right="11"/>
      <w:jc w:val="both"/>
      <w:outlineLvl w:val="1"/>
    </w:pPr>
    <w:rPr>
      <w:rFonts w:ascii="Cambria" w:hAnsi="Cambria" w:eastAsia="Cambria"/>
      <w:b/>
      <w:bCs/>
      <w:caps/>
      <w:kern w:val="0"/>
      <w:sz w:val="32"/>
      <w:szCs w:val="32"/>
      <w:lang w:eastAsia="pl-PL"/>
      <w14:ligatures w14:val="none"/>
    </w:rPr>
  </w:style>
  <w:style w:type="paragraph" w:styleId="Heading3">
    <w:name w:val="heading 3"/>
    <w:basedOn w:val="Normal"/>
    <w:next w:val="Normal"/>
    <w:link w:val="Nagwek3Znak"/>
    <w:uiPriority w:val="9"/>
    <w:unhideWhenUsed/>
    <w:qFormat/>
    <w:rsid w:val="00cd4de6"/>
    <w:pPr>
      <w:keepNext w:val="true"/>
      <w:keepLines/>
      <w:numPr>
        <w:ilvl w:val="2"/>
        <w:numId w:val="1"/>
      </w:numPr>
      <w:spacing w:before="360" w:after="60"/>
      <w:ind w:right="11"/>
      <w:jc w:val="both"/>
      <w:outlineLvl w:val="2"/>
    </w:pPr>
    <w:rPr>
      <w:rFonts w:ascii="Cambria" w:hAnsi="Cambria" w:eastAsia="Cambria" w:cs="Cambria"/>
      <w:b/>
      <w:bCs/>
      <w:kern w:val="0"/>
      <w:sz w:val="28"/>
      <w:szCs w:val="28"/>
      <w:lang w:eastAsia="pl-PL" w:bidi="he-IL"/>
      <w14:ligatures w14:val="none"/>
    </w:rPr>
  </w:style>
  <w:style w:type="paragraph" w:styleId="Heading4">
    <w:name w:val="heading 4"/>
    <w:basedOn w:val="Heading3"/>
    <w:next w:val="Normal"/>
    <w:link w:val="Nagwek4Znak"/>
    <w:uiPriority w:val="9"/>
    <w:unhideWhenUsed/>
    <w:qFormat/>
    <w:rsid w:val="00cd4de6"/>
    <w:pPr>
      <w:numPr>
        <w:ilvl w:val="3"/>
        <w:numId w:val="1"/>
      </w:numPr>
      <w:spacing w:before="240" w:after="60"/>
      <w:ind w:hanging="862" w:left="919"/>
      <w:outlineLvl w:val="3"/>
    </w:pPr>
    <w:rPr>
      <w:sz w:val="24"/>
      <w:szCs w:val="24"/>
    </w:rPr>
  </w:style>
  <w:style w:type="paragraph" w:styleId="Heading5">
    <w:name w:val="heading 5"/>
    <w:basedOn w:val="Heading4"/>
    <w:next w:val="Normal"/>
    <w:link w:val="Nagwek5Znak"/>
    <w:uiPriority w:val="9"/>
    <w:unhideWhenUsed/>
    <w:qFormat/>
    <w:rsid w:val="00cd4de6"/>
    <w:pPr>
      <w:numPr>
        <w:ilvl w:val="4"/>
        <w:numId w:val="1"/>
      </w:numPr>
      <w:outlineLvl w:val="4"/>
    </w:pPr>
    <w:rPr>
      <w:b w:val="false"/>
      <w:bCs w:val="false"/>
      <w:i/>
      <w:iCs/>
      <w:color w:val="0070C0"/>
    </w:rPr>
  </w:style>
  <w:style w:type="paragraph" w:styleId="Heading6">
    <w:name w:val="heading 6"/>
    <w:basedOn w:val="Heading5"/>
    <w:link w:val="Nagwek6Znak"/>
    <w:uiPriority w:val="9"/>
    <w:unhideWhenUsed/>
    <w:qFormat/>
    <w:rsid w:val="00cd4de6"/>
    <w:pPr>
      <w:numPr>
        <w:ilvl w:val="5"/>
        <w:numId w:val="1"/>
      </w:numPr>
      <w:ind w:left="1260"/>
      <w:outlineLvl w:val="5"/>
    </w:pPr>
    <w:rPr/>
  </w:style>
  <w:style w:type="paragraph" w:styleId="Heading7">
    <w:name w:val="heading 7"/>
    <w:basedOn w:val="Heading6"/>
    <w:next w:val="Normal"/>
    <w:link w:val="Nagwek7Znak"/>
    <w:uiPriority w:val="9"/>
    <w:unhideWhenUsed/>
    <w:qFormat/>
    <w:rsid w:val="00cd4de6"/>
    <w:pPr>
      <w:keepNext w:val="false"/>
      <w:numPr>
        <w:ilvl w:val="6"/>
        <w:numId w:val="1"/>
      </w:numPr>
      <w:tabs>
        <w:tab w:val="clear" w:pos="720"/>
        <w:tab w:val="left" w:pos="1701" w:leader="none"/>
      </w:tabs>
      <w:spacing w:lineRule="auto" w:line="240" w:before="0" w:after="0"/>
      <w:ind w:right="0"/>
      <w:outlineLvl w:val="6"/>
    </w:pPr>
    <w:rPr>
      <w:rFonts w:ascii="Tahoma" w:hAnsi="Tahoma" w:eastAsia="" w:cs="" w:cstheme="majorBidi" w:eastAsiaTheme="majorEastAsia"/>
      <w:sz w:val="20"/>
      <w:lang w:eastAsia="en-US"/>
    </w:rPr>
  </w:style>
  <w:style w:type="paragraph" w:styleId="Heading8">
    <w:name w:val="heading 8"/>
    <w:basedOn w:val="Normal"/>
    <w:next w:val="Normal"/>
    <w:link w:val="Nagwek8Znak"/>
    <w:uiPriority w:val="9"/>
    <w:unhideWhenUsed/>
    <w:qFormat/>
    <w:rsid w:val="00cd4de6"/>
    <w:pPr>
      <w:keepNext w:val="true"/>
      <w:keepLines/>
      <w:numPr>
        <w:ilvl w:val="7"/>
        <w:numId w:val="1"/>
      </w:numPr>
      <w:spacing w:before="40" w:after="0"/>
      <w:jc w:val="both"/>
      <w:outlineLvl w:val="7"/>
    </w:pPr>
    <w:rPr>
      <w:rFonts w:ascii="Calibri Light" w:hAnsi="Calibri Light" w:eastAsia="" w:cs="" w:asciiTheme="majorHAnsi" w:cstheme="majorBidi" w:eastAsiaTheme="majorEastAsia" w:hAnsiTheme="majorHAnsi"/>
      <w:color w:themeColor="text1" w:themeTint="d8" w:val="272727"/>
      <w:kern w:val="0"/>
      <w:sz w:val="21"/>
      <w:szCs w:val="21"/>
      <w:lang w:eastAsia="zh-CN"/>
      <w14:ligatures w14:val="none"/>
    </w:rPr>
  </w:style>
  <w:style w:type="paragraph" w:styleId="Heading9">
    <w:name w:val="heading 9"/>
    <w:basedOn w:val="Normal"/>
    <w:next w:val="Normal"/>
    <w:link w:val="Nagwek9Znak"/>
    <w:uiPriority w:val="9"/>
    <w:semiHidden/>
    <w:unhideWhenUsed/>
    <w:qFormat/>
    <w:rsid w:val="00cd4de6"/>
    <w:pPr>
      <w:keepNext w:val="true"/>
      <w:keepLines/>
      <w:numPr>
        <w:ilvl w:val="8"/>
        <w:numId w:val="1"/>
      </w:numPr>
      <w:spacing w:before="40" w:after="0"/>
      <w:jc w:val="both"/>
      <w:outlineLvl w:val="8"/>
    </w:pPr>
    <w:rPr>
      <w:rFonts w:ascii="Calibri Light" w:hAnsi="Calibri Light" w:eastAsia="" w:cs="" w:asciiTheme="majorHAnsi" w:cstheme="majorBidi" w:eastAsiaTheme="majorEastAsia" w:hAnsiTheme="majorHAnsi"/>
      <w:i/>
      <w:iCs/>
      <w:color w:themeColor="text1" w:themeTint="d8" w:val="272727"/>
      <w:kern w:val="0"/>
      <w:sz w:val="21"/>
      <w:szCs w:val="21"/>
      <w:lang w:eastAsia="zh-CN"/>
      <w14:ligatures w14:val="none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Nagwek1Znak" w:customStyle="1">
    <w:name w:val="Nagłówek 1 Znak"/>
    <w:basedOn w:val="DefaultParagraphFont"/>
    <w:uiPriority w:val="9"/>
    <w:qFormat/>
    <w:rsid w:val="00cd4de6"/>
    <w:rPr>
      <w:rFonts w:ascii="Calibri Light" w:hAnsi="Calibri Light" w:eastAsia="" w:cs="" w:asciiTheme="majorHAnsi" w:cstheme="majorBidi" w:eastAsiaTheme="majorEastAsia" w:hAnsiTheme="majorHAnsi"/>
      <w:b/>
      <w:kern w:val="0"/>
      <w:sz w:val="36"/>
      <w:szCs w:val="32"/>
      <w:shd w:fill="D9D9D9" w:val="clear"/>
      <w:lang w:eastAsia="zh-CN"/>
      <w14:ligatures w14:val="none"/>
    </w:rPr>
  </w:style>
  <w:style w:type="character" w:styleId="Nagwek2Znak" w:customStyle="1">
    <w:name w:val="Nagłówek 2 Znak"/>
    <w:basedOn w:val="DefaultParagraphFont"/>
    <w:uiPriority w:val="9"/>
    <w:qFormat/>
    <w:rsid w:val="00cd4de6"/>
    <w:rPr>
      <w:rFonts w:ascii="Cambria" w:hAnsi="Cambria" w:eastAsia="Cambria"/>
      <w:b/>
      <w:bCs/>
      <w:caps/>
      <w:kern w:val="0"/>
      <w:sz w:val="32"/>
      <w:szCs w:val="32"/>
      <w:shd w:fill="DEEAF6" w:val="clear"/>
      <w:lang w:eastAsia="pl-PL"/>
      <w14:ligatures w14:val="none"/>
    </w:rPr>
  </w:style>
  <w:style w:type="character" w:styleId="Nagwek3Znak" w:customStyle="1">
    <w:name w:val="Nagłówek 3 Znak"/>
    <w:basedOn w:val="DefaultParagraphFont"/>
    <w:uiPriority w:val="9"/>
    <w:qFormat/>
    <w:rsid w:val="00cd4de6"/>
    <w:rPr>
      <w:rFonts w:ascii="Cambria" w:hAnsi="Cambria" w:eastAsia="Cambria" w:cs="Cambria"/>
      <w:b/>
      <w:bCs/>
      <w:kern w:val="0"/>
      <w:sz w:val="28"/>
      <w:szCs w:val="28"/>
      <w:lang w:eastAsia="pl-PL" w:bidi="he-IL"/>
      <w14:ligatures w14:val="none"/>
    </w:rPr>
  </w:style>
  <w:style w:type="character" w:styleId="Nagwek4Znak" w:customStyle="1">
    <w:name w:val="Nagłówek 4 Znak"/>
    <w:basedOn w:val="DefaultParagraphFont"/>
    <w:uiPriority w:val="9"/>
    <w:qFormat/>
    <w:rsid w:val="00cd4de6"/>
    <w:rPr>
      <w:rFonts w:ascii="Cambria" w:hAnsi="Cambria" w:eastAsia="Cambria" w:cs="Cambria"/>
      <w:b/>
      <w:bCs/>
      <w:kern w:val="0"/>
      <w:sz w:val="24"/>
      <w:szCs w:val="24"/>
      <w:lang w:eastAsia="pl-PL" w:bidi="he-IL"/>
      <w14:ligatures w14:val="none"/>
    </w:rPr>
  </w:style>
  <w:style w:type="character" w:styleId="Nagwek5Znak" w:customStyle="1">
    <w:name w:val="Nagłówek 5 Znak"/>
    <w:basedOn w:val="DefaultParagraphFont"/>
    <w:uiPriority w:val="9"/>
    <w:qFormat/>
    <w:rsid w:val="00cd4de6"/>
    <w:rPr>
      <w:rFonts w:ascii="Cambria" w:hAnsi="Cambria" w:eastAsia="Cambria" w:cs="Cambria"/>
      <w:i/>
      <w:iCs/>
      <w:color w:val="0070C0"/>
      <w:kern w:val="0"/>
      <w:sz w:val="24"/>
      <w:szCs w:val="24"/>
      <w:lang w:eastAsia="pl-PL" w:bidi="he-IL"/>
      <w14:ligatures w14:val="none"/>
    </w:rPr>
  </w:style>
  <w:style w:type="character" w:styleId="Nagwek6Znak" w:customStyle="1">
    <w:name w:val="Nagłówek 6 Znak"/>
    <w:basedOn w:val="DefaultParagraphFont"/>
    <w:uiPriority w:val="9"/>
    <w:qFormat/>
    <w:rsid w:val="00cd4de6"/>
    <w:rPr>
      <w:rFonts w:ascii="Cambria" w:hAnsi="Cambria" w:eastAsia="Cambria" w:cs="Cambria"/>
      <w:i/>
      <w:iCs/>
      <w:color w:val="0070C0"/>
      <w:kern w:val="0"/>
      <w:sz w:val="24"/>
      <w:szCs w:val="24"/>
      <w:lang w:eastAsia="pl-PL" w:bidi="he-IL"/>
      <w14:ligatures w14:val="none"/>
    </w:rPr>
  </w:style>
  <w:style w:type="character" w:styleId="Nagwek7Znak" w:customStyle="1">
    <w:name w:val="Nagłówek 7 Znak"/>
    <w:basedOn w:val="DefaultParagraphFont"/>
    <w:uiPriority w:val="9"/>
    <w:qFormat/>
    <w:rsid w:val="00cd4de6"/>
    <w:rPr>
      <w:rFonts w:ascii="Tahoma" w:hAnsi="Tahoma" w:eastAsia="" w:cs="" w:cstheme="majorBidi" w:eastAsiaTheme="majorEastAsia"/>
      <w:i/>
      <w:iCs/>
      <w:color w:val="0070C0"/>
      <w:kern w:val="0"/>
      <w:sz w:val="20"/>
      <w:szCs w:val="24"/>
      <w:lang w:bidi="he-IL"/>
      <w14:ligatures w14:val="none"/>
    </w:rPr>
  </w:style>
  <w:style w:type="character" w:styleId="Nagwek8Znak" w:customStyle="1">
    <w:name w:val="Nagłówek 8 Znak"/>
    <w:basedOn w:val="DefaultParagraphFont"/>
    <w:uiPriority w:val="9"/>
    <w:qFormat/>
    <w:rsid w:val="00cd4de6"/>
    <w:rPr>
      <w:rFonts w:ascii="Calibri Light" w:hAnsi="Calibri Light" w:eastAsia="" w:cs="" w:asciiTheme="majorHAnsi" w:cstheme="majorBidi" w:eastAsiaTheme="majorEastAsia" w:hAnsiTheme="majorHAnsi"/>
      <w:color w:themeColor="text1" w:themeTint="d8" w:val="272727"/>
      <w:kern w:val="0"/>
      <w:sz w:val="21"/>
      <w:szCs w:val="21"/>
      <w:lang w:eastAsia="zh-CN"/>
      <w14:ligatures w14:val="none"/>
    </w:rPr>
  </w:style>
  <w:style w:type="character" w:styleId="Nagwek9Znak" w:customStyle="1">
    <w:name w:val="Nagłówek 9 Znak"/>
    <w:basedOn w:val="DefaultParagraphFont"/>
    <w:uiPriority w:val="9"/>
    <w:semiHidden/>
    <w:qFormat/>
    <w:rsid w:val="00cd4de6"/>
    <w:rPr>
      <w:rFonts w:ascii="Calibri Light" w:hAnsi="Calibri Light" w:eastAsia="" w:cs="" w:asciiTheme="majorHAnsi" w:cstheme="majorBidi" w:eastAsiaTheme="majorEastAsia" w:hAnsiTheme="majorHAnsi"/>
      <w:i/>
      <w:iCs/>
      <w:color w:themeColor="text1" w:themeTint="d8" w:val="272727"/>
      <w:kern w:val="0"/>
      <w:sz w:val="21"/>
      <w:szCs w:val="21"/>
      <w:lang w:eastAsia="zh-CN"/>
      <w14:ligatures w14:val="none"/>
    </w:rPr>
  </w:style>
  <w:style w:type="character" w:styleId="AkapitzlistZnak" w:customStyle="1">
    <w:name w:val="Akapit z listą Znak"/>
    <w:basedOn w:val="DefaultParagraphFont"/>
    <w:link w:val="ListParagraph"/>
    <w:uiPriority w:val="34"/>
    <w:qFormat/>
    <w:rsid w:val="00903a1b"/>
    <w:rPr>
      <w:rFonts w:eastAsia="SimSun"/>
      <w:kern w:val="0"/>
      <w14:ligatures w14:val="none"/>
    </w:rPr>
  </w:style>
  <w:style w:type="character" w:styleId="StopkaZnak" w:customStyle="1">
    <w:name w:val="Stopka Znak"/>
    <w:basedOn w:val="DefaultParagraphFont"/>
    <w:uiPriority w:val="99"/>
    <w:qFormat/>
    <w:rsid w:val="005f7730"/>
    <w:rPr>
      <w:rFonts w:eastAsia="SimSun"/>
      <w:kern w:val="0"/>
      <w:sz w:val="16"/>
      <w:lang w:eastAsia="zh-CN"/>
      <w14:ligatures w14:val="none"/>
    </w:rPr>
  </w:style>
  <w:style w:type="character" w:styleId="PunktowanieZnak" w:customStyle="1">
    <w:name w:val="Punktowanie Znak"/>
    <w:basedOn w:val="DefaultParagraphFont"/>
    <w:link w:val="Punktowanie"/>
    <w:qFormat/>
    <w:rsid w:val="002d426c"/>
    <w:rPr>
      <w:rFonts w:eastAsia="SimSun" w:cs="Times New Roman"/>
      <w:kern w:val="0"/>
      <w:lang w:eastAsia="zh-CN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qFormat/>
    <w:rsid w:val="007d56eb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CommentText"/>
    <w:uiPriority w:val="99"/>
    <w:qFormat/>
    <w:rsid w:val="007d56eb"/>
    <w:rPr>
      <w:sz w:val="20"/>
      <w:szCs w:val="20"/>
    </w:rPr>
  </w:style>
  <w:style w:type="character" w:styleId="TematkomentarzaZnak" w:customStyle="1">
    <w:name w:val="Temat komentarza Znak"/>
    <w:basedOn w:val="TekstkomentarzaZnak"/>
    <w:link w:val="annotationsubject"/>
    <w:uiPriority w:val="99"/>
    <w:semiHidden/>
    <w:qFormat/>
    <w:rsid w:val="007d56eb"/>
    <w:rPr>
      <w:b/>
      <w:bCs/>
      <w:sz w:val="20"/>
      <w:szCs w:val="20"/>
    </w:rPr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66280e"/>
    <w:rPr>
      <w:sz w:val="20"/>
      <w:szCs w:val="20"/>
    </w:rPr>
  </w:style>
  <w:style w:type="character" w:styleId="Znakiprzypiswkocowychuser" w:customStyle="1">
    <w:name w:val="Znaki przypisów końcowych (user)"/>
    <w:qFormat/>
    <w:rsid w:val="00aa1f74"/>
    <w:rPr>
      <w:vertAlign w:val="superscript"/>
    </w:rPr>
  </w:style>
  <w:style w:type="character" w:styleId="Znakiprzypiswkocowych">
    <w:name w:val="Znaki przypisów końcowych"/>
    <w:qFormat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LineNumber">
    <w:name w:val="line number"/>
    <w:rPr/>
  </w:style>
  <w:style w:type="character" w:styleId="WWCharLFO48LVL1" w:customStyle="1">
    <w:name w:val="WW_CharLFO48LVL1"/>
    <w:qFormat/>
    <w:rPr>
      <w:rFonts w:ascii="Times New Roman" w:hAnsi="Times New Roman"/>
      <w:color w:val="000000"/>
      <w:sz w:val="24"/>
      <w:szCs w:val="24"/>
    </w:rPr>
  </w:style>
  <w:style w:type="character" w:styleId="WWCharLFO48LVL2" w:customStyle="1">
    <w:name w:val="WW_CharLFO48LVL2"/>
    <w:qFormat/>
    <w:rPr>
      <w:rFonts w:ascii="Times New Roman" w:hAnsi="Times New Roman"/>
      <w:color w:val="000000"/>
      <w:sz w:val="24"/>
      <w:szCs w:val="24"/>
    </w:rPr>
  </w:style>
  <w:style w:type="character" w:styleId="WWCharLFO48LVL3" w:customStyle="1">
    <w:name w:val="WW_CharLFO48LVL3"/>
    <w:qFormat/>
    <w:rPr>
      <w:rFonts w:ascii="Times New Roman" w:hAnsi="Times New Roman"/>
      <w:color w:val="000000"/>
      <w:sz w:val="24"/>
      <w:szCs w:val="24"/>
    </w:rPr>
  </w:style>
  <w:style w:type="character" w:styleId="WWCharLFO48LVL4" w:customStyle="1">
    <w:name w:val="WW_CharLFO48LVL4"/>
    <w:qFormat/>
    <w:rPr>
      <w:rFonts w:ascii="Times New Roman" w:hAnsi="Times New Roman"/>
      <w:color w:val="000000"/>
      <w:sz w:val="24"/>
      <w:szCs w:val="24"/>
    </w:rPr>
  </w:style>
  <w:style w:type="character" w:styleId="WWCharLFO48LVL5" w:customStyle="1">
    <w:name w:val="WW_CharLFO48LVL5"/>
    <w:qFormat/>
    <w:rPr>
      <w:rFonts w:ascii="Times New Roman" w:hAnsi="Times New Roman"/>
      <w:color w:val="000000"/>
      <w:sz w:val="24"/>
      <w:szCs w:val="24"/>
    </w:rPr>
  </w:style>
  <w:style w:type="character" w:styleId="WWCharLFO48LVL6" w:customStyle="1">
    <w:name w:val="WW_CharLFO48LVL6"/>
    <w:qFormat/>
    <w:rPr>
      <w:rFonts w:ascii="Times New Roman" w:hAnsi="Times New Roman"/>
      <w:color w:val="000000"/>
      <w:sz w:val="24"/>
      <w:szCs w:val="24"/>
    </w:rPr>
  </w:style>
  <w:style w:type="character" w:styleId="WWCharLFO48LVL7" w:customStyle="1">
    <w:name w:val="WW_CharLFO48LVL7"/>
    <w:qFormat/>
    <w:rPr>
      <w:rFonts w:ascii="Times New Roman" w:hAnsi="Times New Roman"/>
      <w:color w:val="000000"/>
      <w:sz w:val="24"/>
      <w:szCs w:val="24"/>
    </w:rPr>
  </w:style>
  <w:style w:type="character" w:styleId="WWCharLFO48LVL8" w:customStyle="1">
    <w:name w:val="WW_CharLFO48LVL8"/>
    <w:qFormat/>
    <w:rPr>
      <w:rFonts w:ascii="Times New Roman" w:hAnsi="Times New Roman"/>
      <w:color w:val="000000"/>
      <w:sz w:val="24"/>
      <w:szCs w:val="24"/>
    </w:rPr>
  </w:style>
  <w:style w:type="character" w:styleId="WWCharLFO48LVL9" w:customStyle="1">
    <w:name w:val="WW_CharLFO48LVL9"/>
    <w:qFormat/>
    <w:rPr>
      <w:rFonts w:ascii="Times New Roman" w:hAnsi="Times New Roman"/>
      <w:color w:val="000000"/>
      <w:sz w:val="24"/>
      <w:szCs w:val="24"/>
    </w:rPr>
  </w:style>
  <w:style w:type="character" w:styleId="Domylnaczcionkaakapitu1" w:customStyle="1">
    <w:name w:val="Domyślna czcionka akapitu1"/>
    <w:qFormat/>
    <w:rPr/>
  </w:style>
  <w:style w:type="character" w:styleId="WWCharLFO2LVL1" w:customStyle="1">
    <w:name w:val="WW_CharLFO2LVL1"/>
    <w:qFormat/>
    <w:rPr>
      <w:rFonts w:ascii="Calibri" w:hAnsi="Calibri" w:cs="Calibri"/>
      <w:b w:val="false"/>
      <w:i w:val="false"/>
      <w:strike w:val="false"/>
      <w:dstrike w:val="false"/>
      <w:color w:val="000000"/>
      <w:position w:val="0"/>
      <w:sz w:val="24"/>
      <w:sz w:val="24"/>
      <w:szCs w:val="24"/>
      <w:u w:val="none"/>
      <w:shd w:fill="auto" w:val="clear"/>
      <w:vertAlign w:val="baseline"/>
    </w:rPr>
  </w:style>
  <w:style w:type="character" w:styleId="WWCharLFO4LVL1" w:customStyle="1">
    <w:name w:val="WW_CharLFO4LVL1"/>
    <w:qFormat/>
    <w:rPr>
      <w:rFonts w:ascii="Arial" w:hAnsi="Arial" w:cs="Arial"/>
      <w:b w:val="false"/>
      <w:i w:val="false"/>
      <w:strike w:val="false"/>
      <w:dstrike w:val="false"/>
      <w:color w:val="000000"/>
      <w:position w:val="0"/>
      <w:sz w:val="24"/>
      <w:sz w:val="24"/>
      <w:szCs w:val="24"/>
      <w:u w:val="none"/>
      <w:shd w:fill="auto" w:val="clear"/>
      <w:vertAlign w:val="baseline"/>
    </w:rPr>
  </w:style>
  <w:style w:type="character" w:styleId="WWCharLFO36LVL1" w:customStyle="1">
    <w:name w:val="WW_CharLFO36LVL1"/>
    <w:qFormat/>
    <w:rPr>
      <w:rFonts w:ascii="Times New Roman" w:hAnsi="Times New Roman"/>
      <w:color w:val="000000"/>
      <w:sz w:val="24"/>
      <w:szCs w:val="24"/>
    </w:rPr>
  </w:style>
  <w:style w:type="character" w:styleId="WWCharLFO36LVL2" w:customStyle="1">
    <w:name w:val="WW_CharLFO36LVL2"/>
    <w:qFormat/>
    <w:rPr>
      <w:rFonts w:ascii="Times New Roman" w:hAnsi="Times New Roman"/>
      <w:color w:val="000000"/>
      <w:sz w:val="24"/>
      <w:szCs w:val="24"/>
    </w:rPr>
  </w:style>
  <w:style w:type="character" w:styleId="WWCharLFO36LVL3" w:customStyle="1">
    <w:name w:val="WW_CharLFO36LVL3"/>
    <w:qFormat/>
    <w:rPr>
      <w:rFonts w:ascii="Times New Roman" w:hAnsi="Times New Roman"/>
      <w:color w:val="000000"/>
      <w:sz w:val="24"/>
      <w:szCs w:val="24"/>
    </w:rPr>
  </w:style>
  <w:style w:type="character" w:styleId="WWCharLFO36LVL4" w:customStyle="1">
    <w:name w:val="WW_CharLFO36LVL4"/>
    <w:qFormat/>
    <w:rPr>
      <w:rFonts w:ascii="Times New Roman" w:hAnsi="Times New Roman"/>
      <w:color w:val="000000"/>
      <w:sz w:val="24"/>
      <w:szCs w:val="24"/>
    </w:rPr>
  </w:style>
  <w:style w:type="character" w:styleId="WWCharLFO36LVL5" w:customStyle="1">
    <w:name w:val="WW_CharLFO36LVL5"/>
    <w:qFormat/>
    <w:rPr>
      <w:rFonts w:ascii="Times New Roman" w:hAnsi="Times New Roman"/>
      <w:color w:val="000000"/>
      <w:sz w:val="24"/>
      <w:szCs w:val="24"/>
    </w:rPr>
  </w:style>
  <w:style w:type="character" w:styleId="WWCharLFO36LVL6" w:customStyle="1">
    <w:name w:val="WW_CharLFO36LVL6"/>
    <w:qFormat/>
    <w:rPr>
      <w:rFonts w:ascii="Times New Roman" w:hAnsi="Times New Roman"/>
      <w:color w:val="000000"/>
      <w:sz w:val="24"/>
      <w:szCs w:val="24"/>
    </w:rPr>
  </w:style>
  <w:style w:type="character" w:styleId="WWCharLFO36LVL7" w:customStyle="1">
    <w:name w:val="WW_CharLFO36LVL7"/>
    <w:qFormat/>
    <w:rPr>
      <w:rFonts w:ascii="Times New Roman" w:hAnsi="Times New Roman"/>
      <w:color w:val="000000"/>
      <w:sz w:val="24"/>
      <w:szCs w:val="24"/>
    </w:rPr>
  </w:style>
  <w:style w:type="character" w:styleId="WWCharLFO36LVL8" w:customStyle="1">
    <w:name w:val="WW_CharLFO36LVL8"/>
    <w:qFormat/>
    <w:rPr>
      <w:rFonts w:ascii="Times New Roman" w:hAnsi="Times New Roman"/>
      <w:color w:val="000000"/>
      <w:sz w:val="24"/>
      <w:szCs w:val="24"/>
    </w:rPr>
  </w:style>
  <w:style w:type="character" w:styleId="WWCharLFO36LVL9" w:customStyle="1">
    <w:name w:val="WW_CharLFO36LVL9"/>
    <w:qFormat/>
    <w:rPr>
      <w:rFonts w:ascii="Times New Roman" w:hAnsi="Times New Roman"/>
      <w:color w:val="000000"/>
      <w:sz w:val="24"/>
      <w:szCs w:val="24"/>
    </w:rPr>
  </w:style>
  <w:style w:type="character" w:styleId="WWCharLFO40LVL1" w:customStyle="1">
    <w:name w:val="WW_CharLFO40LVL1"/>
    <w:qFormat/>
    <w:rPr>
      <w:rFonts w:ascii="OpenSymbol" w:hAnsi="OpenSymbol" w:eastAsia="OpenSymbol" w:cs="OpenSymbol"/>
    </w:rPr>
  </w:style>
  <w:style w:type="character" w:styleId="WWCharLFO40LVL2" w:customStyle="1">
    <w:name w:val="WW_CharLFO40LVL2"/>
    <w:qFormat/>
    <w:rPr>
      <w:rFonts w:ascii="OpenSymbol" w:hAnsi="OpenSymbol" w:eastAsia="OpenSymbol" w:cs="OpenSymbol"/>
    </w:rPr>
  </w:style>
  <w:style w:type="character" w:styleId="WWCharLFO40LVL3" w:customStyle="1">
    <w:name w:val="WW_CharLFO40LVL3"/>
    <w:qFormat/>
    <w:rPr>
      <w:rFonts w:ascii="OpenSymbol" w:hAnsi="OpenSymbol" w:eastAsia="OpenSymbol" w:cs="OpenSymbol"/>
    </w:rPr>
  </w:style>
  <w:style w:type="character" w:styleId="WWCharLFO40LVL4" w:customStyle="1">
    <w:name w:val="WW_CharLFO40LVL4"/>
    <w:qFormat/>
    <w:rPr>
      <w:rFonts w:ascii="OpenSymbol" w:hAnsi="OpenSymbol" w:eastAsia="OpenSymbol" w:cs="OpenSymbol"/>
    </w:rPr>
  </w:style>
  <w:style w:type="character" w:styleId="WWCharLFO40LVL5" w:customStyle="1">
    <w:name w:val="WW_CharLFO40LVL5"/>
    <w:qFormat/>
    <w:rPr>
      <w:rFonts w:ascii="OpenSymbol" w:hAnsi="OpenSymbol" w:eastAsia="OpenSymbol" w:cs="OpenSymbol"/>
    </w:rPr>
  </w:style>
  <w:style w:type="character" w:styleId="WWCharLFO40LVL6" w:customStyle="1">
    <w:name w:val="WW_CharLFO40LVL6"/>
    <w:qFormat/>
    <w:rPr>
      <w:rFonts w:ascii="OpenSymbol" w:hAnsi="OpenSymbol" w:eastAsia="OpenSymbol" w:cs="OpenSymbol"/>
    </w:rPr>
  </w:style>
  <w:style w:type="character" w:styleId="WWCharLFO40LVL7" w:customStyle="1">
    <w:name w:val="WW_CharLFO40LVL7"/>
    <w:qFormat/>
    <w:rPr>
      <w:rFonts w:ascii="OpenSymbol" w:hAnsi="OpenSymbol" w:eastAsia="OpenSymbol" w:cs="OpenSymbol"/>
    </w:rPr>
  </w:style>
  <w:style w:type="character" w:styleId="WWCharLFO40LVL8" w:customStyle="1">
    <w:name w:val="WW_CharLFO40LVL8"/>
    <w:qFormat/>
    <w:rPr>
      <w:rFonts w:ascii="OpenSymbol" w:hAnsi="OpenSymbol" w:eastAsia="OpenSymbol" w:cs="OpenSymbol"/>
    </w:rPr>
  </w:style>
  <w:style w:type="character" w:styleId="WWCharLFO40LVL9" w:customStyle="1">
    <w:name w:val="WW_CharLFO40LVL9"/>
    <w:qFormat/>
    <w:rPr>
      <w:rFonts w:ascii="OpenSymbol" w:hAnsi="OpenSymbol" w:eastAsia="OpenSymbol" w:cs="OpenSymbol"/>
    </w:rPr>
  </w:style>
  <w:style w:type="character" w:styleId="WWCharLFO41LVL1" w:customStyle="1">
    <w:name w:val="WW_CharLFO41LVL1"/>
    <w:qFormat/>
    <w:rPr>
      <w:rFonts w:ascii="OpenSymbol" w:hAnsi="OpenSymbol" w:eastAsia="OpenSymbol" w:cs="OpenSymbol"/>
    </w:rPr>
  </w:style>
  <w:style w:type="character" w:styleId="WWCharLFO41LVL2" w:customStyle="1">
    <w:name w:val="WW_CharLFO41LVL2"/>
    <w:qFormat/>
    <w:rPr>
      <w:rFonts w:ascii="OpenSymbol" w:hAnsi="OpenSymbol" w:eastAsia="OpenSymbol" w:cs="OpenSymbol"/>
    </w:rPr>
  </w:style>
  <w:style w:type="character" w:styleId="WWCharLFO41LVL3" w:customStyle="1">
    <w:name w:val="WW_CharLFO41LVL3"/>
    <w:qFormat/>
    <w:rPr>
      <w:rFonts w:ascii="OpenSymbol" w:hAnsi="OpenSymbol" w:eastAsia="OpenSymbol" w:cs="OpenSymbol"/>
    </w:rPr>
  </w:style>
  <w:style w:type="character" w:styleId="WWCharLFO41LVL4" w:customStyle="1">
    <w:name w:val="WW_CharLFO41LVL4"/>
    <w:qFormat/>
    <w:rPr>
      <w:rFonts w:ascii="OpenSymbol" w:hAnsi="OpenSymbol" w:eastAsia="OpenSymbol" w:cs="OpenSymbol"/>
    </w:rPr>
  </w:style>
  <w:style w:type="character" w:styleId="WWCharLFO41LVL5" w:customStyle="1">
    <w:name w:val="WW_CharLFO41LVL5"/>
    <w:qFormat/>
    <w:rPr>
      <w:rFonts w:ascii="OpenSymbol" w:hAnsi="OpenSymbol" w:eastAsia="OpenSymbol" w:cs="OpenSymbol"/>
    </w:rPr>
  </w:style>
  <w:style w:type="character" w:styleId="WWCharLFO41LVL6" w:customStyle="1">
    <w:name w:val="WW_CharLFO41LVL6"/>
    <w:qFormat/>
    <w:rPr>
      <w:rFonts w:ascii="OpenSymbol" w:hAnsi="OpenSymbol" w:eastAsia="OpenSymbol" w:cs="OpenSymbol"/>
    </w:rPr>
  </w:style>
  <w:style w:type="character" w:styleId="WWCharLFO41LVL7" w:customStyle="1">
    <w:name w:val="WW_CharLFO41LVL7"/>
    <w:qFormat/>
    <w:rPr>
      <w:rFonts w:ascii="OpenSymbol" w:hAnsi="OpenSymbol" w:eastAsia="OpenSymbol" w:cs="OpenSymbol"/>
    </w:rPr>
  </w:style>
  <w:style w:type="character" w:styleId="WWCharLFO41LVL8" w:customStyle="1">
    <w:name w:val="WW_CharLFO41LVL8"/>
    <w:qFormat/>
    <w:rPr>
      <w:rFonts w:ascii="OpenSymbol" w:hAnsi="OpenSymbol" w:eastAsia="OpenSymbol" w:cs="OpenSymbol"/>
    </w:rPr>
  </w:style>
  <w:style w:type="character" w:styleId="WWCharLFO41LVL9" w:customStyle="1">
    <w:name w:val="WW_CharLFO41LVL9"/>
    <w:qFormat/>
    <w:rPr>
      <w:rFonts w:ascii="OpenSymbol" w:hAnsi="OpenSymbol" w:eastAsia="OpenSymbol" w:cs="OpenSymbol"/>
    </w:rPr>
  </w:style>
  <w:style w:type="character" w:styleId="WWCharLFO42LVL1" w:customStyle="1">
    <w:name w:val="WW_CharLFO42LVL1"/>
    <w:qFormat/>
    <w:rPr>
      <w:rFonts w:ascii="OpenSymbol" w:hAnsi="OpenSymbol" w:eastAsia="OpenSymbol" w:cs="OpenSymbol"/>
    </w:rPr>
  </w:style>
  <w:style w:type="character" w:styleId="WWCharLFO42LVL2" w:customStyle="1">
    <w:name w:val="WW_CharLFO42LVL2"/>
    <w:qFormat/>
    <w:rPr>
      <w:rFonts w:ascii="OpenSymbol" w:hAnsi="OpenSymbol" w:eastAsia="OpenSymbol" w:cs="OpenSymbol"/>
    </w:rPr>
  </w:style>
  <w:style w:type="character" w:styleId="WWCharLFO42LVL3" w:customStyle="1">
    <w:name w:val="WW_CharLFO42LVL3"/>
    <w:qFormat/>
    <w:rPr>
      <w:rFonts w:ascii="OpenSymbol" w:hAnsi="OpenSymbol" w:eastAsia="OpenSymbol" w:cs="OpenSymbol"/>
    </w:rPr>
  </w:style>
  <w:style w:type="character" w:styleId="WWCharLFO42LVL4" w:customStyle="1">
    <w:name w:val="WW_CharLFO42LVL4"/>
    <w:qFormat/>
    <w:rPr>
      <w:rFonts w:ascii="OpenSymbol" w:hAnsi="OpenSymbol" w:eastAsia="OpenSymbol" w:cs="OpenSymbol"/>
    </w:rPr>
  </w:style>
  <w:style w:type="character" w:styleId="WWCharLFO42LVL5" w:customStyle="1">
    <w:name w:val="WW_CharLFO42LVL5"/>
    <w:qFormat/>
    <w:rPr>
      <w:rFonts w:ascii="OpenSymbol" w:hAnsi="OpenSymbol" w:eastAsia="OpenSymbol" w:cs="OpenSymbol"/>
    </w:rPr>
  </w:style>
  <w:style w:type="character" w:styleId="WWCharLFO42LVL6" w:customStyle="1">
    <w:name w:val="WW_CharLFO42LVL6"/>
    <w:qFormat/>
    <w:rPr>
      <w:rFonts w:ascii="OpenSymbol" w:hAnsi="OpenSymbol" w:eastAsia="OpenSymbol" w:cs="OpenSymbol"/>
    </w:rPr>
  </w:style>
  <w:style w:type="character" w:styleId="WWCharLFO42LVL7" w:customStyle="1">
    <w:name w:val="WW_CharLFO42LVL7"/>
    <w:qFormat/>
    <w:rPr>
      <w:rFonts w:ascii="OpenSymbol" w:hAnsi="OpenSymbol" w:eastAsia="OpenSymbol" w:cs="OpenSymbol"/>
    </w:rPr>
  </w:style>
  <w:style w:type="character" w:styleId="WWCharLFO42LVL8" w:customStyle="1">
    <w:name w:val="WW_CharLFO42LVL8"/>
    <w:qFormat/>
    <w:rPr>
      <w:rFonts w:ascii="OpenSymbol" w:hAnsi="OpenSymbol" w:eastAsia="OpenSymbol" w:cs="OpenSymbol"/>
    </w:rPr>
  </w:style>
  <w:style w:type="character" w:styleId="WWCharLFO42LVL9" w:customStyle="1">
    <w:name w:val="WW_CharLFO42LVL9"/>
    <w:qFormat/>
    <w:rPr>
      <w:rFonts w:ascii="OpenSymbol" w:hAnsi="OpenSymbol" w:eastAsia="OpenSymbol" w:cs="OpenSymbol"/>
    </w:rPr>
  </w:style>
  <w:style w:type="character" w:styleId="WWCharLFO44LVL1" w:customStyle="1">
    <w:name w:val="WW_CharLFO44LVL1"/>
    <w:qFormat/>
    <w:rPr>
      <w:rFonts w:ascii="OpenSymbol" w:hAnsi="OpenSymbol" w:eastAsia="OpenSymbol" w:cs="OpenSymbol"/>
    </w:rPr>
  </w:style>
  <w:style w:type="character" w:styleId="WWCharLFO44LVL2" w:customStyle="1">
    <w:name w:val="WW_CharLFO44LVL2"/>
    <w:qFormat/>
    <w:rPr>
      <w:rFonts w:ascii="OpenSymbol" w:hAnsi="OpenSymbol" w:eastAsia="OpenSymbol" w:cs="OpenSymbol"/>
    </w:rPr>
  </w:style>
  <w:style w:type="character" w:styleId="WWCharLFO44LVL3" w:customStyle="1">
    <w:name w:val="WW_CharLFO44LVL3"/>
    <w:qFormat/>
    <w:rPr>
      <w:rFonts w:ascii="OpenSymbol" w:hAnsi="OpenSymbol" w:eastAsia="OpenSymbol" w:cs="OpenSymbol"/>
    </w:rPr>
  </w:style>
  <w:style w:type="character" w:styleId="WWCharLFO44LVL4" w:customStyle="1">
    <w:name w:val="WW_CharLFO44LVL4"/>
    <w:qFormat/>
    <w:rPr>
      <w:rFonts w:ascii="OpenSymbol" w:hAnsi="OpenSymbol" w:eastAsia="OpenSymbol" w:cs="OpenSymbol"/>
    </w:rPr>
  </w:style>
  <w:style w:type="character" w:styleId="WWCharLFO44LVL5" w:customStyle="1">
    <w:name w:val="WW_CharLFO44LVL5"/>
    <w:qFormat/>
    <w:rPr>
      <w:rFonts w:ascii="OpenSymbol" w:hAnsi="OpenSymbol" w:eastAsia="OpenSymbol" w:cs="OpenSymbol"/>
    </w:rPr>
  </w:style>
  <w:style w:type="character" w:styleId="WWCharLFO44LVL6" w:customStyle="1">
    <w:name w:val="WW_CharLFO44LVL6"/>
    <w:qFormat/>
    <w:rPr>
      <w:rFonts w:ascii="OpenSymbol" w:hAnsi="OpenSymbol" w:eastAsia="OpenSymbol" w:cs="OpenSymbol"/>
    </w:rPr>
  </w:style>
  <w:style w:type="character" w:styleId="WWCharLFO44LVL7" w:customStyle="1">
    <w:name w:val="WW_CharLFO44LVL7"/>
    <w:qFormat/>
    <w:rPr>
      <w:rFonts w:ascii="OpenSymbol" w:hAnsi="OpenSymbol" w:eastAsia="OpenSymbol" w:cs="OpenSymbol"/>
    </w:rPr>
  </w:style>
  <w:style w:type="character" w:styleId="WWCharLFO44LVL8" w:customStyle="1">
    <w:name w:val="WW_CharLFO44LVL8"/>
    <w:qFormat/>
    <w:rPr>
      <w:rFonts w:ascii="OpenSymbol" w:hAnsi="OpenSymbol" w:eastAsia="OpenSymbol" w:cs="OpenSymbol"/>
    </w:rPr>
  </w:style>
  <w:style w:type="character" w:styleId="WWCharLFO44LVL9" w:customStyle="1">
    <w:name w:val="WW_CharLFO44LVL9"/>
    <w:qFormat/>
    <w:rPr>
      <w:rFonts w:ascii="OpenSymbol" w:hAnsi="OpenSymbol" w:eastAsia="OpenSymbol" w:cs="OpenSymbol"/>
    </w:rPr>
  </w:style>
  <w:style w:type="character" w:styleId="WWCharLFO47LVL1" w:customStyle="1">
    <w:name w:val="WW_CharLFO47LVL1"/>
    <w:qFormat/>
    <w:rPr>
      <w:rFonts w:ascii="OpenSymbol" w:hAnsi="OpenSymbol" w:eastAsia="OpenSymbol" w:cs="OpenSymbol"/>
    </w:rPr>
  </w:style>
  <w:style w:type="character" w:styleId="WWCharLFO47LVL2" w:customStyle="1">
    <w:name w:val="WW_CharLFO47LVL2"/>
    <w:qFormat/>
    <w:rPr>
      <w:rFonts w:ascii="OpenSymbol" w:hAnsi="OpenSymbol" w:eastAsia="OpenSymbol" w:cs="OpenSymbol"/>
    </w:rPr>
  </w:style>
  <w:style w:type="character" w:styleId="WWCharLFO47LVL3" w:customStyle="1">
    <w:name w:val="WW_CharLFO47LVL3"/>
    <w:qFormat/>
    <w:rPr>
      <w:rFonts w:ascii="OpenSymbol" w:hAnsi="OpenSymbol" w:eastAsia="OpenSymbol" w:cs="OpenSymbol"/>
    </w:rPr>
  </w:style>
  <w:style w:type="character" w:styleId="WWCharLFO47LVL4" w:customStyle="1">
    <w:name w:val="WW_CharLFO47LVL4"/>
    <w:qFormat/>
    <w:rPr>
      <w:rFonts w:ascii="OpenSymbol" w:hAnsi="OpenSymbol" w:eastAsia="OpenSymbol" w:cs="OpenSymbol"/>
    </w:rPr>
  </w:style>
  <w:style w:type="character" w:styleId="WWCharLFO47LVL5" w:customStyle="1">
    <w:name w:val="WW_CharLFO47LVL5"/>
    <w:qFormat/>
    <w:rPr>
      <w:rFonts w:ascii="OpenSymbol" w:hAnsi="OpenSymbol" w:eastAsia="OpenSymbol" w:cs="OpenSymbol"/>
    </w:rPr>
  </w:style>
  <w:style w:type="character" w:styleId="WWCharLFO47LVL6" w:customStyle="1">
    <w:name w:val="WW_CharLFO47LVL6"/>
    <w:qFormat/>
    <w:rPr>
      <w:rFonts w:ascii="OpenSymbol" w:hAnsi="OpenSymbol" w:eastAsia="OpenSymbol" w:cs="OpenSymbol"/>
    </w:rPr>
  </w:style>
  <w:style w:type="character" w:styleId="WWCharLFO47LVL7" w:customStyle="1">
    <w:name w:val="WW_CharLFO47LVL7"/>
    <w:qFormat/>
    <w:rPr>
      <w:rFonts w:ascii="OpenSymbol" w:hAnsi="OpenSymbol" w:eastAsia="OpenSymbol" w:cs="OpenSymbol"/>
    </w:rPr>
  </w:style>
  <w:style w:type="character" w:styleId="WWCharLFO47LVL8" w:customStyle="1">
    <w:name w:val="WW_CharLFO47LVL8"/>
    <w:qFormat/>
    <w:rPr>
      <w:rFonts w:ascii="OpenSymbol" w:hAnsi="OpenSymbol" w:eastAsia="OpenSymbol" w:cs="OpenSymbol"/>
    </w:rPr>
  </w:style>
  <w:style w:type="character" w:styleId="WWCharLFO47LVL9" w:customStyle="1">
    <w:name w:val="WW_CharLFO47LVL9"/>
    <w:qFormat/>
    <w:rPr>
      <w:rFonts w:ascii="OpenSymbol" w:hAnsi="OpenSymbol" w:eastAsia="OpenSymbol" w:cs="OpenSymbol"/>
    </w:rPr>
  </w:style>
  <w:style w:type="character" w:styleId="Znakinumeracjiuser" w:customStyle="1">
    <w:name w:val="Znaki numeracji (user)"/>
    <w:qFormat/>
    <w:rPr>
      <w:rFonts w:ascii="Calibri" w:hAnsi="Calibri" w:eastAsia="Times New Roman" w:cs="Times New Roman"/>
      <w:color w:val="000000"/>
      <w:sz w:val="22"/>
      <w:szCs w:val="22"/>
    </w:rPr>
  </w:style>
  <w:style w:type="character" w:styleId="WWCharLFO49LVL1" w:customStyle="1">
    <w:name w:val="WW_CharLFO49LVL1"/>
    <w:qFormat/>
    <w:rPr>
      <w:rFonts w:ascii="Times New Roman" w:hAnsi="Times New Roman"/>
      <w:color w:val="000000"/>
      <w:sz w:val="24"/>
      <w:szCs w:val="24"/>
    </w:rPr>
  </w:style>
  <w:style w:type="character" w:styleId="WWCharLFO49LVL2" w:customStyle="1">
    <w:name w:val="WW_CharLFO49LVL2"/>
    <w:qFormat/>
    <w:rPr>
      <w:rFonts w:ascii="Times New Roman" w:hAnsi="Times New Roman"/>
      <w:color w:val="000000"/>
      <w:sz w:val="24"/>
      <w:szCs w:val="24"/>
    </w:rPr>
  </w:style>
  <w:style w:type="character" w:styleId="WWCharLFO49LVL3" w:customStyle="1">
    <w:name w:val="WW_CharLFO49LVL3"/>
    <w:qFormat/>
    <w:rPr>
      <w:rFonts w:ascii="Times New Roman" w:hAnsi="Times New Roman"/>
      <w:color w:val="000000"/>
      <w:sz w:val="24"/>
      <w:szCs w:val="24"/>
    </w:rPr>
  </w:style>
  <w:style w:type="character" w:styleId="WWCharLFO49LVL4" w:customStyle="1">
    <w:name w:val="WW_CharLFO49LVL4"/>
    <w:qFormat/>
    <w:rPr>
      <w:rFonts w:ascii="Times New Roman" w:hAnsi="Times New Roman"/>
      <w:color w:val="000000"/>
      <w:sz w:val="24"/>
      <w:szCs w:val="24"/>
    </w:rPr>
  </w:style>
  <w:style w:type="character" w:styleId="WWCharLFO49LVL5" w:customStyle="1">
    <w:name w:val="WW_CharLFO49LVL5"/>
    <w:qFormat/>
    <w:rPr>
      <w:rFonts w:ascii="Times New Roman" w:hAnsi="Times New Roman"/>
      <w:color w:val="000000"/>
      <w:sz w:val="24"/>
      <w:szCs w:val="24"/>
    </w:rPr>
  </w:style>
  <w:style w:type="character" w:styleId="WWCharLFO49LVL6" w:customStyle="1">
    <w:name w:val="WW_CharLFO49LVL6"/>
    <w:qFormat/>
    <w:rPr>
      <w:rFonts w:ascii="Times New Roman" w:hAnsi="Times New Roman"/>
      <w:color w:val="000000"/>
      <w:sz w:val="24"/>
      <w:szCs w:val="24"/>
    </w:rPr>
  </w:style>
  <w:style w:type="character" w:styleId="WWCharLFO49LVL7" w:customStyle="1">
    <w:name w:val="WW_CharLFO49LVL7"/>
    <w:qFormat/>
    <w:rPr>
      <w:rFonts w:ascii="Times New Roman" w:hAnsi="Times New Roman"/>
      <w:color w:val="000000"/>
      <w:sz w:val="24"/>
      <w:szCs w:val="24"/>
    </w:rPr>
  </w:style>
  <w:style w:type="character" w:styleId="WWCharLFO49LVL8" w:customStyle="1">
    <w:name w:val="WW_CharLFO49LVL8"/>
    <w:qFormat/>
    <w:rPr>
      <w:rFonts w:ascii="Times New Roman" w:hAnsi="Times New Roman"/>
      <w:color w:val="000000"/>
      <w:sz w:val="24"/>
      <w:szCs w:val="24"/>
    </w:rPr>
  </w:style>
  <w:style w:type="character" w:styleId="WWCharLFO49LVL9" w:customStyle="1">
    <w:name w:val="WW_CharLFO49LVL9"/>
    <w:qFormat/>
    <w:rPr>
      <w:rFonts w:ascii="Times New Roman" w:hAnsi="Times New Roman"/>
      <w:color w:val="000000"/>
      <w:sz w:val="24"/>
      <w:szCs w:val="24"/>
    </w:rPr>
  </w:style>
  <w:style w:type="character" w:styleId="Znakiwypunktowaniauser" w:customStyle="1">
    <w:name w:val="Znaki wypunktowania (user)"/>
    <w:qFormat/>
    <w:rPr>
      <w:rFonts w:ascii="OpenSymbol" w:hAnsi="OpenSymbol" w:eastAsia="OpenSymbol" w:cs="OpenSymbol"/>
    </w:rPr>
  </w:style>
  <w:style w:type="character" w:styleId="WW8Num13z0" w:customStyle="1">
    <w:name w:val="WW8Num13z0"/>
    <w:qFormat/>
    <w:rPr>
      <w:rFonts w:eastAsia="Calibri"/>
      <w:color w:val="000000"/>
    </w:rPr>
  </w:style>
  <w:style w:type="character" w:styleId="WW8Num31z0" w:customStyle="1">
    <w:name w:val="WW8Num31z0"/>
    <w:qFormat/>
    <w:rPr>
      <w:b/>
      <w:bCs/>
      <w:color w:val="2F5496"/>
    </w:rPr>
  </w:style>
  <w:style w:type="character" w:styleId="Emphasis">
    <w:name w:val="Emphasis"/>
    <w:qFormat/>
    <w:rPr>
      <w:i/>
      <w:iCs/>
    </w:rPr>
  </w:style>
  <w:style w:type="character" w:styleId="Domylnaczcionkaakapitu">
    <w:name w:val="Domyślna czcionka akapitu"/>
    <w:qFormat/>
    <w:rPr/>
  </w:style>
  <w:style w:type="character" w:styleId="Znakiwypunktowania">
    <w:name w:val="Znaki wypunktowania"/>
    <w:qFormat/>
    <w:rPr>
      <w:rFonts w:ascii="OpenSymbol" w:hAnsi="OpenSymbol" w:eastAsia="OpenSymbol" w:cs="OpenSymbol"/>
    </w:rPr>
  </w:style>
  <w:style w:type="character" w:styleId="Znakinumeracji">
    <w:name w:val="Znaki numeracji"/>
    <w:qFormat/>
    <w:rPr/>
  </w:style>
  <w:style w:type="character" w:styleId="FollowedHyperlink">
    <w:name w:val="FollowedHyperlink"/>
    <w:rPr>
      <w:color w:val="800000"/>
      <w:u w:val="single"/>
    </w:rPr>
  </w:style>
  <w:style w:type="character" w:styleId="Hyperlink">
    <w:name w:val="Hyperlink"/>
    <w:rPr>
      <w:color w:val="000080"/>
      <w:u w:val="single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Nagwekuser">
    <w:name w:val="Nagłówek (user)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Indeksuser" w:customStyle="1">
    <w:name w:val="Indeks (user)"/>
    <w:basedOn w:val="Normal"/>
    <w:qFormat/>
    <w:pPr>
      <w:suppressLineNumbers/>
    </w:pPr>
    <w:rPr>
      <w:rFonts w:cs="Arial"/>
    </w:rPr>
  </w:style>
  <w:style w:type="paragraph" w:styleId="Gwkaistopkauser" w:customStyle="1">
    <w:name w:val="Główka i stopka (user)"/>
    <w:basedOn w:val="Normal"/>
    <w:qFormat/>
    <w:pPr/>
    <w:rPr/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archm1tabela" w:customStyle="1">
    <w:name w:val="archm 1. tabela"/>
    <w:basedOn w:val="Normal"/>
    <w:qFormat/>
    <w:rsid w:val="00cd4de6"/>
    <w:pPr>
      <w:spacing w:lineRule="auto" w:line="240" w:before="0" w:after="0"/>
      <w:jc w:val="both"/>
    </w:pPr>
    <w:rPr>
      <w:rFonts w:ascii="Calibri Light" w:hAnsi="Calibri Light" w:eastAsia="Calibri" w:cs="Arial"/>
      <w:sz w:val="20"/>
      <w:szCs w:val="20"/>
      <w:lang w:eastAsia="ar-SA"/>
      <w14:ligatures w14:val="none"/>
    </w:rPr>
  </w:style>
  <w:style w:type="paragraph" w:styleId="ListParagraph">
    <w:name w:val="List Paragraph"/>
    <w:basedOn w:val="Normal"/>
    <w:link w:val="AkapitzlistZnak"/>
    <w:uiPriority w:val="34"/>
    <w:qFormat/>
    <w:rsid w:val="00903a1b"/>
    <w:pPr>
      <w:spacing w:before="0" w:after="0"/>
      <w:ind w:firstLine="284" w:left="720"/>
      <w:contextualSpacing/>
      <w:jc w:val="both"/>
    </w:pPr>
    <w:rPr>
      <w:rFonts w:eastAsia="SimSun"/>
      <w:kern w:val="0"/>
      <w14:ligatures w14:val="none"/>
    </w:rPr>
  </w:style>
  <w:style w:type="paragraph" w:styleId="Footer">
    <w:name w:val="footer"/>
    <w:link w:val="StopkaZnak"/>
    <w:uiPriority w:val="99"/>
    <w:unhideWhenUsed/>
    <w:rsid w:val="005f7730"/>
    <w:pPr>
      <w:widowControl/>
      <w:tabs>
        <w:tab w:val="clear" w:pos="720"/>
        <w:tab w:val="center" w:pos="4536" w:leader="none"/>
        <w:tab w:val="right" w:pos="9072" w:leader="none"/>
      </w:tabs>
      <w:suppressAutoHyphens w:val="true"/>
      <w:bidi w:val="0"/>
      <w:spacing w:before="0" w:after="0"/>
      <w:jc w:val="left"/>
    </w:pPr>
    <w:rPr>
      <w:rFonts w:ascii="Calibri" w:hAnsi="Calibri" w:eastAsia="SimSun" w:cs=""/>
      <w:color w:val="auto"/>
      <w:kern w:val="0"/>
      <w:sz w:val="16"/>
      <w:szCs w:val="22"/>
      <w:lang w:val="pl-PL" w:eastAsia="zh-CN" w:bidi="ar-SA"/>
      <w14:ligatures w14:val="none"/>
    </w:rPr>
  </w:style>
  <w:style w:type="paragraph" w:styleId="Podstawowy" w:customStyle="1">
    <w:name w:val="Podstawowy"/>
    <w:basedOn w:val="Normal"/>
    <w:qFormat/>
    <w:rsid w:val="005f7730"/>
    <w:pPr>
      <w:numPr>
        <w:ilvl w:val="0"/>
        <w:numId w:val="7"/>
      </w:numPr>
      <w:tabs>
        <w:tab w:val="clear" w:pos="720"/>
        <w:tab w:val="left" w:pos="1365" w:leader="none"/>
      </w:tabs>
      <w:spacing w:before="0" w:after="120"/>
      <w:ind w:hanging="340" w:left="1474"/>
      <w:jc w:val="both"/>
    </w:pPr>
    <w:rPr>
      <w:rFonts w:eastAsia="SimSun"/>
      <w:kern w:val="0"/>
      <w:lang w:eastAsia="zh-CN"/>
      <w14:ligatures w14:val="none"/>
    </w:rPr>
  </w:style>
  <w:style w:type="paragraph" w:styleId="Punktowanie" w:customStyle="1">
    <w:name w:val="Punktowanie"/>
    <w:basedOn w:val="Normal"/>
    <w:link w:val="PunktowanieZnak"/>
    <w:unhideWhenUsed/>
    <w:qFormat/>
    <w:rsid w:val="002d426c"/>
    <w:pPr>
      <w:numPr>
        <w:ilvl w:val="0"/>
        <w:numId w:val="3"/>
      </w:numPr>
      <w:spacing w:before="0" w:after="0"/>
      <w:ind w:left="284"/>
      <w:contextualSpacing/>
    </w:pPr>
    <w:rPr>
      <w:rFonts w:eastAsia="SimSun" w:cs="Times New Roman"/>
      <w:kern w:val="0"/>
      <w:lang w:eastAsia="zh-CN"/>
      <w14:ligatures w14:val="none"/>
    </w:rPr>
  </w:style>
  <w:style w:type="paragraph" w:styleId="Nagwek51" w:customStyle="1">
    <w:name w:val="Nagłówek 51"/>
    <w:basedOn w:val="Normal"/>
    <w:qFormat/>
    <w:rsid w:val="00ff627b"/>
    <w:pPr>
      <w:keepLines/>
      <w:spacing w:lineRule="auto" w:line="240" w:before="0" w:after="0"/>
      <w:contextualSpacing/>
      <w:jc w:val="both"/>
      <w:outlineLvl w:val="4"/>
    </w:pPr>
    <w:rPr>
      <w:rFonts w:ascii="Tahoma" w:hAnsi="Tahoma" w:eastAsia="Times New Roman" w:cs="Times New Roman"/>
      <w:kern w:val="0"/>
      <w:sz w:val="20"/>
      <w14:ligatures w14:val="none"/>
    </w:rPr>
  </w:style>
  <w:style w:type="paragraph" w:styleId="Revision">
    <w:name w:val="Revision"/>
    <w:uiPriority w:val="99"/>
    <w:semiHidden/>
    <w:qFormat/>
    <w:rsid w:val="005f18d5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2"/>
      <w:sz w:val="22"/>
      <w:szCs w:val="22"/>
      <w:lang w:val="pl-PL" w:eastAsia="en-US" w:bidi="ar-SA"/>
      <w14:ligatures w14:val="standardContextual"/>
    </w:rPr>
  </w:style>
  <w:style w:type="paragraph" w:styleId="CommentText">
    <w:name w:val="annotation text"/>
    <w:basedOn w:val="Normal"/>
    <w:link w:val="TekstkomentarzaZnak"/>
    <w:uiPriority w:val="99"/>
    <w:unhideWhenUsed/>
    <w:qFormat/>
    <w:rsid w:val="007d56eb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CommentText"/>
    <w:next w:val="CommentText"/>
    <w:link w:val="TematkomentarzaZnak"/>
    <w:uiPriority w:val="99"/>
    <w:semiHidden/>
    <w:unhideWhenUsed/>
    <w:qFormat/>
    <w:rsid w:val="007d56eb"/>
    <w:pPr/>
    <w:rPr>
      <w:b/>
      <w:bCs/>
    </w:rPr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66280e"/>
    <w:pPr>
      <w:spacing w:lineRule="auto" w:line="240" w:before="0" w:after="0"/>
    </w:pPr>
    <w:rPr>
      <w:sz w:val="20"/>
      <w:szCs w:val="20"/>
    </w:rPr>
  </w:style>
  <w:style w:type="paragraph" w:styleId="Default" w:customStyle="1">
    <w:name w:val="Default"/>
    <w:qFormat/>
    <w:rsid w:val="00aa1f74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000000"/>
      <w:kern w:val="0"/>
      <w:sz w:val="24"/>
      <w:szCs w:val="24"/>
      <w:lang w:val="pl-PL" w:eastAsia="en-US" w:bidi="ar-SA"/>
      <w14:ligatures w14:val="none"/>
    </w:rPr>
  </w:style>
  <w:style w:type="paragraph" w:styleId="Nagwek31" w:customStyle="1">
    <w:name w:val="Nagłówek 31"/>
    <w:basedOn w:val="Normal"/>
    <w:qFormat/>
    <w:rsid w:val="005d0b3f"/>
    <w:pPr>
      <w:keepLines/>
      <w:spacing w:lineRule="auto" w:line="240" w:before="120" w:after="0"/>
      <w:jc w:val="both"/>
      <w:outlineLvl w:val="2"/>
    </w:pPr>
    <w:rPr>
      <w:rFonts w:ascii="Tahoma" w:hAnsi="Tahoma" w:eastAsia="Times New Roman" w:cs="Times New Roman"/>
      <w:kern w:val="0"/>
      <w:sz w:val="20"/>
      <w:szCs w:val="24"/>
      <w14:ligatures w14:val="none"/>
    </w:rPr>
  </w:style>
  <w:style w:type="paragraph" w:styleId="Nagwek41" w:customStyle="1">
    <w:name w:val="Nagłówek 41"/>
    <w:basedOn w:val="Normal"/>
    <w:qFormat/>
    <w:rsid w:val="005d0b3f"/>
    <w:pPr>
      <w:keepLines/>
      <w:spacing w:lineRule="auto" w:line="240" w:before="120" w:after="0"/>
      <w:jc w:val="both"/>
      <w:outlineLvl w:val="3"/>
    </w:pPr>
    <w:rPr>
      <w:rFonts w:ascii="Tahoma" w:hAnsi="Tahoma" w:eastAsia="Times New Roman" w:cs="Times New Roman"/>
      <w:iCs/>
      <w:kern w:val="0"/>
      <w:sz w:val="20"/>
      <w14:ligatures w14:val="none"/>
    </w:rPr>
  </w:style>
  <w:style w:type="paragraph" w:styleId="Nagwek61" w:customStyle="1">
    <w:name w:val="Nagłówek 61"/>
    <w:basedOn w:val="Nagwek51"/>
    <w:qFormat/>
    <w:rsid w:val="005d0b3f"/>
    <w:pPr>
      <w:spacing w:before="0" w:after="0"/>
      <w:contextualSpacing w:val="false"/>
      <w:outlineLvl w:val="5"/>
    </w:pPr>
    <w:rPr/>
  </w:style>
  <w:style w:type="paragraph" w:styleId="Zawartoramkiuser" w:customStyle="1">
    <w:name w:val="Zawartość ramki (user)"/>
    <w:basedOn w:val="Normal"/>
    <w:qFormat/>
    <w:pPr/>
    <w:rPr/>
  </w:style>
  <w:style w:type="paragraph" w:styleId="Komentarzuser">
    <w:name w:val="Komentarz (user)"/>
    <w:basedOn w:val="Normal"/>
    <w:qFormat/>
    <w:pPr>
      <w:spacing w:before="56" w:after="0"/>
      <w:ind w:left="56" w:right="56"/>
    </w:pPr>
    <w:rPr>
      <w:sz w:val="20"/>
      <w:szCs w:val="20"/>
    </w:rPr>
  </w:style>
  <w:style w:type="paragraph" w:styleId="Zawartoramki">
    <w:name w:val="Zawartość ramki"/>
    <w:basedOn w:val="Normal"/>
    <w:qFormat/>
    <w:pPr/>
    <w:rPr/>
  </w:style>
  <w:style w:type="paragraph" w:styleId="Komentarz">
    <w:name w:val="Komentarz"/>
    <w:basedOn w:val="Normal"/>
    <w:qFormat/>
    <w:pPr>
      <w:spacing w:lineRule="auto" w:line="240" w:before="56" w:after="0"/>
      <w:ind w:hanging="0" w:left="57" w:right="57"/>
    </w:pPr>
    <w:rPr>
      <w:color w:val="auto"/>
      <w:sz w:val="20"/>
      <w:szCs w:val="20"/>
    </w:rPr>
  </w:style>
  <w:style w:type="paragraph" w:styleId="NormalWeb">
    <w:name w:val="Normal (Web)"/>
    <w:basedOn w:val="Normal"/>
    <w:qFormat/>
    <w:pPr>
      <w:spacing w:lineRule="auto" w:line="240" w:beforeAutospacing="1" w:after="119"/>
      <w:jc w:val="left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Liniapozioma">
    <w:name w:val="Linia pozioma"/>
    <w:basedOn w:val="Normal"/>
    <w:next w:val="BodyText"/>
    <w:qFormat/>
    <w:pPr>
      <w:suppressLineNumbers/>
      <w:pBdr>
        <w:bottom w:val="double" w:sz="2" w:space="0" w:color="808080"/>
      </w:pBdr>
      <w:spacing w:before="0" w:after="283"/>
    </w:pPr>
    <w:rPr>
      <w:sz w:val="12"/>
      <w:szCs w:val="12"/>
    </w:rPr>
  </w:style>
  <w:style w:type="paragraph" w:styleId="NAGWEKRZDU2">
    <w:name w:val="NAGŁÓWEK RZĘDU 2"/>
    <w:basedOn w:val="Heading21"/>
    <w:next w:val="Normal"/>
    <w:qFormat/>
    <w:pPr/>
    <w:rPr>
      <w:rFonts w:ascii="Arial" w:hAnsi="Arial"/>
      <w:sz w:val="22"/>
      <w:szCs w:val="36"/>
    </w:rPr>
  </w:style>
  <w:style w:type="paragraph" w:styleId="Heading21">
    <w:name w:val="Heading 21"/>
    <w:basedOn w:val="Normal"/>
    <w:next w:val="Normal"/>
    <w:qFormat/>
    <w:pPr>
      <w:keepNext w:val="true"/>
      <w:keepLines/>
      <w:numPr>
        <w:ilvl w:val="1"/>
        <w:numId w:val="2"/>
      </w:numPr>
      <w:spacing w:lineRule="auto" w:line="360" w:before="240" w:after="120"/>
      <w:ind w:right="11"/>
      <w:jc w:val="both"/>
      <w:outlineLvl w:val="1"/>
    </w:pPr>
    <w:rPr>
      <w:rFonts w:ascii="Cambria" w:hAnsi="Cambria" w:eastAsia="Cambria" w:cs="Cambria"/>
      <w:b/>
      <w:bCs/>
      <w:caps/>
      <w:kern w:val="0"/>
      <w:sz w:val="24"/>
      <w:szCs w:val="28"/>
      <w:lang w:eastAsia="pl-PL"/>
    </w:rPr>
  </w:style>
  <w:style w:type="paragraph" w:styleId="TOC2">
    <w:name w:val="toc 2"/>
    <w:basedOn w:val="Normal"/>
    <w:next w:val="Normal"/>
    <w:pPr>
      <w:tabs>
        <w:tab w:val="clear" w:pos="720"/>
        <w:tab w:val="left" w:pos="284" w:leader="none"/>
        <w:tab w:val="left" w:pos="426" w:leader="none"/>
        <w:tab w:val="left" w:pos="1320" w:leader="none"/>
        <w:tab w:val="right" w:pos="9062" w:leader="dot"/>
      </w:tabs>
      <w:spacing w:lineRule="auto" w:line="240" w:before="0" w:after="100"/>
    </w:pPr>
    <w:rPr/>
  </w:style>
  <w:style w:type="paragraph" w:styleId="Standard">
    <w:name w:val="Standard"/>
    <w:qFormat/>
    <w:pPr>
      <w:widowControl/>
      <w:suppressAutoHyphens w:val="true"/>
      <w:bidi w:val="0"/>
      <w:spacing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2"/>
      <w:sz w:val="24"/>
      <w:szCs w:val="24"/>
      <w:lang w:val="pl-PL" w:eastAsia="zh-CN" w:bidi="ar-SA"/>
      <w14:ligatures w14:val="standardContextual"/>
    </w:rPr>
  </w:style>
  <w:style w:type="numbering" w:styleId="Bezlistyuser" w:default="1">
    <w:name w:val="Bez listy (user)"/>
    <w:uiPriority w:val="99"/>
    <w:semiHidden/>
    <w:unhideWhenUsed/>
    <w:qFormat/>
  </w:style>
  <w:style w:type="numbering" w:styleId="WW8Num9" w:customStyle="1">
    <w:name w:val="WW8Num9"/>
    <w:qFormat/>
  </w:style>
  <w:style w:type="numbering" w:styleId="WW8Num3" w:customStyle="1">
    <w:name w:val="WW8Num3"/>
    <w:qFormat/>
  </w:style>
  <w:style w:type="numbering" w:styleId="WW8Num13" w:customStyle="1">
    <w:name w:val="WW8Num13"/>
    <w:qFormat/>
  </w:style>
  <w:style w:type="numbering" w:styleId="WW8Num31" w:customStyle="1">
    <w:name w:val="WW8Num31"/>
    <w:qFormat/>
  </w:style>
  <w:style w:type="numbering" w:styleId="Bezlisty">
    <w:name w:val="Bez listy"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footer" Target="footer3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<Relationship Id="rId11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A935AF-8965-486A-BA9B-DB503AD36B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690</TotalTime>
  <Application>LibreOffice/25.2.0.3$Windows_X86_64 LibreOffice_project/e1cf4a87eb02d755bce1a01209907ea5ddc8f069</Application>
  <AppVersion>15.0000</AppVersion>
  <Pages>11</Pages>
  <Words>3982</Words>
  <Characters>26641</Characters>
  <CharactersWithSpaces>31006</CharactersWithSpaces>
  <Paragraphs>194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2025-02-12T12:50:00Z</dcterms:created>
  <dc:creator>Konrad Żarowski</dc:creator>
  <dc:description/>
  <dc:language>pl-PL</dc:language>
  <cp:lastModifiedBy>Anna Pieczonka</cp:lastModifiedBy>
  <cp:lastPrinted>2025-04-02T09:56:48Z</cp:lastPrinted>
  <dcterms:modified xsi:type="dcterms:W3CDTF">2025-04-17T11:35:25Z</dcterms:modified>
  <cp:revision>41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