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8BF6F" w14:textId="2BD980F6" w:rsidR="0055572F" w:rsidRPr="00CB5F92" w:rsidRDefault="0055572F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b/>
          <w:bCs/>
          <w:sz w:val="20"/>
          <w:szCs w:val="20"/>
        </w:rPr>
        <w:t>Znak: RRG.271.</w:t>
      </w:r>
      <w:r w:rsidR="00515F47">
        <w:rPr>
          <w:rFonts w:ascii="Arial" w:hAnsi="Arial" w:cs="Arial"/>
          <w:b/>
          <w:bCs/>
          <w:sz w:val="20"/>
          <w:szCs w:val="20"/>
        </w:rPr>
        <w:t>17</w:t>
      </w:r>
      <w:r w:rsidRPr="00CB5F92">
        <w:rPr>
          <w:rFonts w:ascii="Arial" w:hAnsi="Arial" w:cs="Arial"/>
          <w:b/>
          <w:bCs/>
          <w:sz w:val="20"/>
          <w:szCs w:val="20"/>
        </w:rPr>
        <w:t>.202</w:t>
      </w:r>
      <w:r w:rsidR="00020329">
        <w:rPr>
          <w:rFonts w:ascii="Arial" w:hAnsi="Arial" w:cs="Arial"/>
          <w:b/>
          <w:bCs/>
          <w:sz w:val="20"/>
          <w:szCs w:val="20"/>
        </w:rPr>
        <w:t>4</w:t>
      </w:r>
      <w:r w:rsidRPr="00CB5F92">
        <w:rPr>
          <w:rFonts w:ascii="Arial" w:hAnsi="Arial" w:cs="Arial"/>
          <w:sz w:val="20"/>
          <w:szCs w:val="20"/>
        </w:rPr>
        <w:t xml:space="preserve"> </w:t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</w:r>
      <w:r w:rsidRPr="00CB5F92">
        <w:rPr>
          <w:rFonts w:ascii="Arial" w:hAnsi="Arial" w:cs="Arial"/>
          <w:sz w:val="20"/>
          <w:szCs w:val="20"/>
        </w:rPr>
        <w:tab/>
        <w:t xml:space="preserve">Giżycko, </w:t>
      </w:r>
      <w:r w:rsidR="00601D4C">
        <w:rPr>
          <w:rFonts w:ascii="Arial" w:hAnsi="Arial" w:cs="Arial"/>
          <w:sz w:val="20"/>
          <w:szCs w:val="20"/>
        </w:rPr>
        <w:t>0</w:t>
      </w:r>
      <w:r w:rsidR="00515F47">
        <w:rPr>
          <w:rFonts w:ascii="Arial" w:hAnsi="Arial" w:cs="Arial"/>
          <w:sz w:val="20"/>
          <w:szCs w:val="20"/>
        </w:rPr>
        <w:t>2</w:t>
      </w:r>
      <w:r w:rsidRPr="00CB5F92">
        <w:rPr>
          <w:rFonts w:ascii="Arial" w:hAnsi="Arial" w:cs="Arial"/>
          <w:sz w:val="20"/>
          <w:szCs w:val="20"/>
        </w:rPr>
        <w:t>.</w:t>
      </w:r>
      <w:r w:rsidR="00020329">
        <w:rPr>
          <w:rFonts w:ascii="Arial" w:hAnsi="Arial" w:cs="Arial"/>
          <w:sz w:val="20"/>
          <w:szCs w:val="20"/>
        </w:rPr>
        <w:t>0</w:t>
      </w:r>
      <w:r w:rsidR="00515F47">
        <w:rPr>
          <w:rFonts w:ascii="Arial" w:hAnsi="Arial" w:cs="Arial"/>
          <w:sz w:val="20"/>
          <w:szCs w:val="20"/>
        </w:rPr>
        <w:t>7</w:t>
      </w:r>
      <w:r w:rsidR="00020329">
        <w:rPr>
          <w:rFonts w:ascii="Arial" w:hAnsi="Arial" w:cs="Arial"/>
          <w:sz w:val="20"/>
          <w:szCs w:val="20"/>
        </w:rPr>
        <w:t>.</w:t>
      </w:r>
      <w:r w:rsidRPr="00CB5F92">
        <w:rPr>
          <w:rFonts w:ascii="Arial" w:hAnsi="Arial" w:cs="Arial"/>
          <w:sz w:val="20"/>
          <w:szCs w:val="20"/>
        </w:rPr>
        <w:t>202</w:t>
      </w:r>
      <w:r w:rsidR="00020329">
        <w:rPr>
          <w:rFonts w:ascii="Arial" w:hAnsi="Arial" w:cs="Arial"/>
          <w:sz w:val="20"/>
          <w:szCs w:val="20"/>
        </w:rPr>
        <w:t>4</w:t>
      </w:r>
      <w:r w:rsidRPr="00CB5F92">
        <w:rPr>
          <w:rFonts w:ascii="Arial" w:hAnsi="Arial" w:cs="Arial"/>
          <w:sz w:val="20"/>
          <w:szCs w:val="20"/>
        </w:rPr>
        <w:t>r.</w:t>
      </w:r>
    </w:p>
    <w:p w14:paraId="7098992D" w14:textId="77777777" w:rsidR="00163DC1" w:rsidRPr="00CB5F92" w:rsidRDefault="00163DC1">
      <w:pPr>
        <w:rPr>
          <w:rFonts w:ascii="Arial" w:hAnsi="Arial" w:cs="Arial"/>
          <w:sz w:val="20"/>
          <w:szCs w:val="20"/>
        </w:rPr>
      </w:pPr>
    </w:p>
    <w:p w14:paraId="64616815" w14:textId="575642B6" w:rsidR="003526BD" w:rsidRPr="00CB5F92" w:rsidRDefault="0055572F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i/>
          <w:iCs/>
          <w:sz w:val="20"/>
          <w:szCs w:val="20"/>
        </w:rPr>
        <w:tab/>
      </w:r>
    </w:p>
    <w:p w14:paraId="2671E592" w14:textId="72DEC960" w:rsidR="003526BD" w:rsidRPr="00CB5F92" w:rsidRDefault="003526BD" w:rsidP="003526BD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CB5F92">
        <w:rPr>
          <w:rFonts w:ascii="Arial" w:hAnsi="Arial" w:cs="Arial"/>
          <w:b/>
          <w:bCs/>
          <w:sz w:val="20"/>
          <w:szCs w:val="20"/>
        </w:rPr>
        <w:t>Informacja o unieważnieniu postępowania</w:t>
      </w:r>
    </w:p>
    <w:p w14:paraId="5B897A28" w14:textId="77777777" w:rsidR="0055572F" w:rsidRPr="00CB5F92" w:rsidRDefault="0055572F" w:rsidP="0055572F">
      <w:pPr>
        <w:rPr>
          <w:rFonts w:ascii="Arial" w:hAnsi="Arial" w:cs="Arial"/>
          <w:b/>
          <w:bCs/>
          <w:sz w:val="20"/>
          <w:szCs w:val="20"/>
        </w:rPr>
      </w:pPr>
    </w:p>
    <w:p w14:paraId="2E4BC0BA" w14:textId="40121DAD" w:rsidR="00020329" w:rsidRPr="00E462F1" w:rsidRDefault="0055572F" w:rsidP="00020329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Dotyczy: </w:t>
      </w:r>
      <w:bookmarkStart w:id="0" w:name="_Hlk60219100"/>
      <w:r w:rsidR="00020329" w:rsidRPr="00E462F1">
        <w:rPr>
          <w:rFonts w:ascii="Arial" w:hAnsi="Arial" w:cs="Arial"/>
          <w:b/>
          <w:bCs/>
          <w:sz w:val="20"/>
          <w:szCs w:val="20"/>
        </w:rPr>
        <w:t>„Przeprowadzenie prac konserwatorskich i budowlanych budynku pomocniczego Szkoły Podstawowej w Spytkowie” – w formule „zaprojektuj i wybuduj”</w:t>
      </w:r>
      <w:r w:rsidR="00515F47">
        <w:rPr>
          <w:rFonts w:ascii="Arial" w:hAnsi="Arial" w:cs="Arial"/>
          <w:b/>
          <w:bCs/>
          <w:sz w:val="20"/>
          <w:szCs w:val="20"/>
        </w:rPr>
        <w:t>-III</w:t>
      </w:r>
    </w:p>
    <w:bookmarkEnd w:id="0"/>
    <w:p w14:paraId="7A11AD49" w14:textId="2B2D69D3" w:rsidR="0055572F" w:rsidRPr="00CB5F92" w:rsidRDefault="0055572F" w:rsidP="0055572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31B3FF" w14:textId="61E4A299" w:rsidR="0055572F" w:rsidRPr="00CB5F92" w:rsidRDefault="0055572F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Zamawiający Gmina Giżycko z siedzibą w Giżycku, ul. Mickiewicza 33, 11-500 Giżycko, działając na podstawie </w:t>
      </w:r>
      <w:r w:rsidR="005C68C6" w:rsidRPr="00CB5F92">
        <w:rPr>
          <w:rFonts w:ascii="Arial" w:hAnsi="Arial" w:cs="Arial"/>
          <w:sz w:val="20"/>
          <w:szCs w:val="20"/>
        </w:rPr>
        <w:t xml:space="preserve">na podstawie art. 255 pkt 3 w związku z </w:t>
      </w:r>
      <w:r w:rsidRPr="00CB5F92">
        <w:rPr>
          <w:rFonts w:ascii="Arial" w:hAnsi="Arial" w:cs="Arial"/>
          <w:sz w:val="20"/>
          <w:szCs w:val="20"/>
        </w:rPr>
        <w:t xml:space="preserve">art. 260 </w:t>
      </w:r>
      <w:r w:rsidR="005C68C6" w:rsidRPr="00CB5F92">
        <w:rPr>
          <w:rFonts w:ascii="Arial" w:hAnsi="Arial" w:cs="Arial"/>
          <w:sz w:val="20"/>
          <w:szCs w:val="20"/>
        </w:rPr>
        <w:t>ustawy z dnia 11 września 2019r. Prawo zamówień publicznych (Dz. U. z 2023r. poz. 1605</w:t>
      </w:r>
      <w:r w:rsidR="00020329">
        <w:rPr>
          <w:rFonts w:ascii="Arial" w:hAnsi="Arial" w:cs="Arial"/>
          <w:sz w:val="20"/>
          <w:szCs w:val="20"/>
        </w:rPr>
        <w:t xml:space="preserve"> ze zm.</w:t>
      </w:r>
      <w:r w:rsidR="005C68C6" w:rsidRPr="00CB5F92">
        <w:rPr>
          <w:rFonts w:ascii="Arial" w:hAnsi="Arial" w:cs="Arial"/>
          <w:sz w:val="20"/>
          <w:szCs w:val="20"/>
        </w:rPr>
        <w:t xml:space="preserve">)  </w:t>
      </w:r>
      <w:r w:rsidRPr="00CB5F92">
        <w:rPr>
          <w:rFonts w:ascii="Arial" w:hAnsi="Arial" w:cs="Arial"/>
          <w:sz w:val="20"/>
          <w:szCs w:val="20"/>
        </w:rPr>
        <w:t xml:space="preserve">informuje, </w:t>
      </w:r>
      <w:r w:rsidR="005C68C6" w:rsidRPr="00CB5F92">
        <w:rPr>
          <w:rFonts w:ascii="Arial" w:hAnsi="Arial" w:cs="Arial"/>
          <w:sz w:val="20"/>
          <w:szCs w:val="20"/>
        </w:rPr>
        <w:t>o unieważnieniu postępowania.</w:t>
      </w:r>
    </w:p>
    <w:p w14:paraId="29F4515B" w14:textId="77777777" w:rsidR="005C68C6" w:rsidRPr="00CB5F92" w:rsidRDefault="0055572F" w:rsidP="0055572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B5F92">
        <w:rPr>
          <w:rFonts w:ascii="Arial" w:hAnsi="Arial" w:cs="Arial"/>
          <w:b/>
          <w:bCs/>
          <w:sz w:val="20"/>
          <w:szCs w:val="20"/>
          <w:u w:val="single"/>
        </w:rPr>
        <w:t>Uzasadnienie</w:t>
      </w:r>
      <w:r w:rsidR="005C68C6" w:rsidRPr="00CB5F92">
        <w:rPr>
          <w:rFonts w:ascii="Arial" w:hAnsi="Arial" w:cs="Arial"/>
          <w:b/>
          <w:bCs/>
          <w:sz w:val="20"/>
          <w:szCs w:val="20"/>
          <w:u w:val="single"/>
        </w:rPr>
        <w:t xml:space="preserve"> faktyczne i prawne:</w:t>
      </w:r>
    </w:p>
    <w:p w14:paraId="43EDB53B" w14:textId="461433D9" w:rsidR="00B47AB1" w:rsidRPr="00CB5F92" w:rsidRDefault="005C68C6" w:rsidP="00B47A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W dniu </w:t>
      </w:r>
      <w:r w:rsidR="00515F47">
        <w:rPr>
          <w:rFonts w:ascii="Arial" w:hAnsi="Arial" w:cs="Arial"/>
          <w:sz w:val="20"/>
          <w:szCs w:val="20"/>
        </w:rPr>
        <w:t>02</w:t>
      </w:r>
      <w:r w:rsidRPr="00CB5F92">
        <w:rPr>
          <w:rFonts w:ascii="Arial" w:hAnsi="Arial" w:cs="Arial"/>
          <w:sz w:val="20"/>
          <w:szCs w:val="20"/>
        </w:rPr>
        <w:t xml:space="preserve"> </w:t>
      </w:r>
      <w:r w:rsidR="00515F47">
        <w:rPr>
          <w:rFonts w:ascii="Arial" w:hAnsi="Arial" w:cs="Arial"/>
          <w:sz w:val="20"/>
          <w:szCs w:val="20"/>
        </w:rPr>
        <w:t>lipca</w:t>
      </w:r>
      <w:r w:rsidRPr="00CB5F92">
        <w:rPr>
          <w:rFonts w:ascii="Arial" w:hAnsi="Arial" w:cs="Arial"/>
          <w:sz w:val="20"/>
          <w:szCs w:val="20"/>
        </w:rPr>
        <w:t xml:space="preserve"> 202</w:t>
      </w:r>
      <w:r w:rsidR="00020329">
        <w:rPr>
          <w:rFonts w:ascii="Arial" w:hAnsi="Arial" w:cs="Arial"/>
          <w:sz w:val="20"/>
          <w:szCs w:val="20"/>
        </w:rPr>
        <w:t>4</w:t>
      </w:r>
      <w:r w:rsidRPr="00CB5F92">
        <w:rPr>
          <w:rFonts w:ascii="Arial" w:hAnsi="Arial" w:cs="Arial"/>
          <w:sz w:val="20"/>
          <w:szCs w:val="20"/>
        </w:rPr>
        <w:t xml:space="preserve">r. o godz. </w:t>
      </w:r>
      <w:r w:rsidR="00515F47">
        <w:rPr>
          <w:rFonts w:ascii="Arial" w:hAnsi="Arial" w:cs="Arial"/>
          <w:sz w:val="20"/>
          <w:szCs w:val="20"/>
        </w:rPr>
        <w:t>8</w:t>
      </w:r>
      <w:r w:rsidRPr="00CB5F92">
        <w:rPr>
          <w:rFonts w:ascii="Arial" w:hAnsi="Arial" w:cs="Arial"/>
          <w:sz w:val="20"/>
          <w:szCs w:val="20"/>
        </w:rPr>
        <w:t>:00</w:t>
      </w:r>
      <w:r w:rsidR="000E247D" w:rsidRPr="00CB5F92">
        <w:rPr>
          <w:rFonts w:ascii="Arial" w:hAnsi="Arial" w:cs="Arial"/>
          <w:sz w:val="20"/>
          <w:szCs w:val="20"/>
        </w:rPr>
        <w:t xml:space="preserve"> upłynął termin składania ofert. </w:t>
      </w:r>
      <w:bookmarkStart w:id="1" w:name="_Hlk103324305"/>
      <w:r w:rsidR="00B47AB1" w:rsidRPr="00CB5F92">
        <w:rPr>
          <w:rFonts w:ascii="Arial" w:eastAsia="Calibri" w:hAnsi="Arial" w:cs="Arial"/>
          <w:sz w:val="20"/>
          <w:szCs w:val="20"/>
        </w:rPr>
        <w:t>Zamawiający poniżej przedstawia ocenę złożonych ofert, zawierającą przyznaną punktację w każdym kryterium oceny ofert oraz łączną punktację.</w:t>
      </w:r>
      <w:bookmarkEnd w:id="1"/>
    </w:p>
    <w:p w14:paraId="640860B0" w14:textId="77777777" w:rsidR="00B47AB1" w:rsidRPr="00CB5F92" w:rsidRDefault="00B47AB1" w:rsidP="00B47A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7233EE" w14:textId="77777777" w:rsidR="00B47AB1" w:rsidRPr="00CB5F92" w:rsidRDefault="00B47AB1" w:rsidP="00B47A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992"/>
        <w:gridCol w:w="1134"/>
        <w:gridCol w:w="992"/>
        <w:gridCol w:w="1134"/>
      </w:tblGrid>
      <w:tr w:rsidR="00B47AB1" w:rsidRPr="00CB5F92" w14:paraId="65798549" w14:textId="77777777" w:rsidTr="00020329">
        <w:trPr>
          <w:trHeight w:val="406"/>
        </w:trPr>
        <w:tc>
          <w:tcPr>
            <w:tcW w:w="709" w:type="dxa"/>
            <w:vMerge w:val="restart"/>
          </w:tcPr>
          <w:p w14:paraId="283EEBD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bookmarkStart w:id="2" w:name="_Hlk103324316"/>
          </w:p>
          <w:p w14:paraId="10EA10F7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7E998B40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2835" w:type="dxa"/>
            <w:vMerge w:val="restart"/>
            <w:vAlign w:val="center"/>
          </w:tcPr>
          <w:p w14:paraId="638006F1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2268" w:type="dxa"/>
            <w:gridSpan w:val="2"/>
          </w:tcPr>
          <w:p w14:paraId="41972C9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5F96329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Kryterium – cena </w:t>
            </w: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>[maks. 60 pkt.]</w:t>
            </w:r>
          </w:p>
          <w:p w14:paraId="201F71E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1612A04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3795D4C3" w14:textId="675A6A4A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Kryterium –</w:t>
            </w:r>
            <w:r w:rsidR="00601D4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gwarancja w miesiącach</w:t>
            </w: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>[maks. 40 pkt.]</w:t>
            </w:r>
          </w:p>
          <w:p w14:paraId="0A1019AE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6B5DDB6" w14:textId="77777777" w:rsidR="00B47AB1" w:rsidRPr="00CB5F92" w:rsidRDefault="00B47AB1" w:rsidP="00E401AE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2A075D1F" w14:textId="77777777" w:rsidR="00B47AB1" w:rsidRPr="00CB5F92" w:rsidRDefault="00B47AB1" w:rsidP="00E401AE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778C251B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56787B83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Łączna </w:t>
            </w:r>
          </w:p>
          <w:p w14:paraId="6727306C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B47AB1" w:rsidRPr="00CB5F92" w14:paraId="2FD7AEE4" w14:textId="77777777" w:rsidTr="00020329">
        <w:trPr>
          <w:trHeight w:val="484"/>
        </w:trPr>
        <w:tc>
          <w:tcPr>
            <w:tcW w:w="709" w:type="dxa"/>
            <w:vMerge/>
          </w:tcPr>
          <w:p w14:paraId="01FB2A80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1B9A0FF9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638207" w14:textId="070223FC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Cena</w:t>
            </w: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 brutto</w:t>
            </w:r>
            <w:r w:rsidR="0002032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w zł</w:t>
            </w:r>
          </w:p>
        </w:tc>
        <w:tc>
          <w:tcPr>
            <w:tcW w:w="992" w:type="dxa"/>
          </w:tcPr>
          <w:p w14:paraId="0480045D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Uzyskana ilość punktów</w:t>
            </w:r>
          </w:p>
        </w:tc>
        <w:tc>
          <w:tcPr>
            <w:tcW w:w="1134" w:type="dxa"/>
          </w:tcPr>
          <w:p w14:paraId="3E3411A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Gwarancja(w miesiącach)</w:t>
            </w:r>
          </w:p>
          <w:p w14:paraId="6E95AF15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F6A9EE7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Uzyskana ilość punktów</w:t>
            </w:r>
          </w:p>
        </w:tc>
        <w:tc>
          <w:tcPr>
            <w:tcW w:w="1134" w:type="dxa"/>
            <w:vMerge/>
          </w:tcPr>
          <w:p w14:paraId="385F01E0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B47AB1" w:rsidRPr="00CB5F92" w14:paraId="661F005F" w14:textId="77777777" w:rsidTr="00020329">
        <w:trPr>
          <w:trHeight w:val="287"/>
        </w:trPr>
        <w:tc>
          <w:tcPr>
            <w:tcW w:w="709" w:type="dxa"/>
          </w:tcPr>
          <w:p w14:paraId="005D235E" w14:textId="34A5774F" w:rsidR="00B47AB1" w:rsidRPr="00CB5F92" w:rsidRDefault="00515F47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10228C04" w14:textId="6E3D1C5B" w:rsidR="00B47AB1" w:rsidRPr="00CB5F92" w:rsidRDefault="00020329" w:rsidP="00E401A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REMBUD Ryszard Chodnicki, ul. Mickiewicza 11, 11-500 Giżycko</w:t>
            </w:r>
          </w:p>
        </w:tc>
        <w:tc>
          <w:tcPr>
            <w:tcW w:w="1276" w:type="dxa"/>
            <w:vAlign w:val="center"/>
          </w:tcPr>
          <w:p w14:paraId="18623825" w14:textId="6BDC02E3" w:rsidR="00B47AB1" w:rsidRPr="00CB5F92" w:rsidRDefault="00020329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515F47">
              <w:rPr>
                <w:rFonts w:ascii="Arial" w:eastAsia="Calibri" w:hAnsi="Arial" w:cs="Arial"/>
                <w:sz w:val="16"/>
                <w:szCs w:val="16"/>
              </w:rPr>
              <w:t> 500 000</w:t>
            </w:r>
            <w:r>
              <w:rPr>
                <w:rFonts w:ascii="Arial" w:eastAsia="Calibri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14:paraId="0B109840" w14:textId="13648A57" w:rsidR="00B47AB1" w:rsidRPr="00CB5F92" w:rsidRDefault="00515F47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14:paraId="16AD8CC0" w14:textId="3F1EEB3B" w:rsidR="00B47AB1" w:rsidRPr="00CB5F92" w:rsidRDefault="00020329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14:paraId="1AFD61F3" w14:textId="77777777" w:rsidR="00B47AB1" w:rsidRPr="00CB5F92" w:rsidRDefault="00B47AB1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5F92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05A355CB" w14:textId="33BBF64E" w:rsidR="00B47AB1" w:rsidRPr="00CB5F92" w:rsidRDefault="00515F47" w:rsidP="00E401A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100,00</w:t>
            </w:r>
          </w:p>
        </w:tc>
      </w:tr>
      <w:bookmarkEnd w:id="2"/>
    </w:tbl>
    <w:p w14:paraId="0E326D38" w14:textId="77777777" w:rsidR="000E247D" w:rsidRPr="00CB5F92" w:rsidRDefault="000E247D" w:rsidP="0055572F">
      <w:pPr>
        <w:rPr>
          <w:rFonts w:ascii="Arial" w:hAnsi="Arial" w:cs="Arial"/>
          <w:sz w:val="20"/>
          <w:szCs w:val="20"/>
        </w:rPr>
      </w:pPr>
    </w:p>
    <w:p w14:paraId="7B178B56" w14:textId="2EE02460" w:rsidR="005764F8" w:rsidRPr="00CB5F92" w:rsidRDefault="00B47AB1" w:rsidP="005764F8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Zamawiający zamierzał przeznaczyć na zrealizowanie przedmiotu zamówienia kwotę: </w:t>
      </w:r>
      <w:r w:rsidR="00515F47" w:rsidRPr="00515F47">
        <w:rPr>
          <w:rFonts w:ascii="Open Sans" w:hAnsi="Open Sans" w:cs="Open Sans"/>
          <w:sz w:val="20"/>
          <w:szCs w:val="20"/>
          <w:shd w:val="clear" w:color="auto" w:fill="FFFFFF"/>
        </w:rPr>
        <w:t>798 890,87</w:t>
      </w:r>
      <w:r w:rsidRPr="00515F47">
        <w:rPr>
          <w:rFonts w:ascii="Arial" w:hAnsi="Arial" w:cs="Arial"/>
          <w:sz w:val="20"/>
          <w:szCs w:val="20"/>
        </w:rPr>
        <w:t xml:space="preserve">zł </w:t>
      </w:r>
      <w:r w:rsidRPr="00CB5F92">
        <w:rPr>
          <w:rFonts w:ascii="Arial" w:hAnsi="Arial" w:cs="Arial"/>
          <w:sz w:val="20"/>
          <w:szCs w:val="20"/>
        </w:rPr>
        <w:t>brutto.</w:t>
      </w:r>
    </w:p>
    <w:p w14:paraId="7685DD5A" w14:textId="44188479" w:rsidR="005A2A61" w:rsidRPr="00CB5F92" w:rsidRDefault="005A2A61" w:rsidP="005A2A61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  W związku z powyższym zgodnie z art. 255 pkt 3 ustawy Zamawiający unieważnia postępowanie o udzielenie zamówienia, jeżeli cena lub koszt najkorzystniejszej oferty lub oferty z najniższą ceną przewyższa kwotę, którą zamierza przeznaczyć na sfinansowanie zamówienia, chyba że zamawiający może tę kwotę zwiększyć do ceny lub kosztu najkorzystniejszej oferty.</w:t>
      </w:r>
      <w:r w:rsidR="00515F47">
        <w:rPr>
          <w:rFonts w:ascii="Arial" w:hAnsi="Arial" w:cs="Arial"/>
          <w:sz w:val="20"/>
          <w:szCs w:val="20"/>
        </w:rPr>
        <w:t xml:space="preserve"> Zamawiający nie ma możliwości </w:t>
      </w:r>
      <w:r w:rsidR="00FE19F7">
        <w:rPr>
          <w:rFonts w:ascii="Arial" w:hAnsi="Arial" w:cs="Arial"/>
          <w:sz w:val="20"/>
          <w:szCs w:val="20"/>
        </w:rPr>
        <w:t>zwiększyć kwoty do wysokości ceny najkorzystniejszej.</w:t>
      </w:r>
    </w:p>
    <w:p w14:paraId="0889AFA6" w14:textId="77777777" w:rsidR="005A2A61" w:rsidRPr="00CB5F92" w:rsidRDefault="005A2A61" w:rsidP="005A2A61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>Zgodnie z art. 260 ustawy Pzp, o unieważnieniu postępowania o udzielenia Zamawiający zawiadamia równocześnie wykonawców, którzy złożyli oferty lub wnioski o dopuszczenie do udziału w postępowaniu lub zostali zaproszeni do negocjacji – podając uzasadnienie faktyczne i prawne. Zamawiający udostępnia niezwłocznie informacje, o których mowa powyżej, na stronie internetowej prowadzonego postępowania.</w:t>
      </w:r>
    </w:p>
    <w:p w14:paraId="3482313A" w14:textId="0BC673D4" w:rsidR="00367F80" w:rsidRPr="00CB5F92" w:rsidRDefault="00367F80" w:rsidP="0055572F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>W związku z powyższym Zamawiający unieważnia postępowanie o udzielenie zamówienia.</w:t>
      </w:r>
    </w:p>
    <w:p w14:paraId="3E859E42" w14:textId="4DB474CA" w:rsidR="00CB5F92" w:rsidRDefault="0055572F" w:rsidP="00367F80">
      <w:pPr>
        <w:rPr>
          <w:rFonts w:ascii="Arial" w:hAnsi="Arial" w:cs="Arial"/>
          <w:sz w:val="20"/>
          <w:szCs w:val="20"/>
        </w:rPr>
      </w:pPr>
      <w:r w:rsidRPr="00CB5F92">
        <w:rPr>
          <w:rFonts w:ascii="Arial" w:hAnsi="Arial" w:cs="Arial"/>
          <w:sz w:val="20"/>
          <w:szCs w:val="20"/>
        </w:rPr>
        <w:t xml:space="preserve"> </w:t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</w:p>
    <w:p w14:paraId="1927EFF2" w14:textId="0358174D" w:rsidR="0055572F" w:rsidRPr="00CB5F92" w:rsidRDefault="00CB5F92" w:rsidP="002250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F80" w:rsidRPr="00CB5F92">
        <w:rPr>
          <w:rFonts w:ascii="Arial" w:hAnsi="Arial" w:cs="Arial"/>
          <w:sz w:val="20"/>
          <w:szCs w:val="20"/>
        </w:rPr>
        <w:tab/>
      </w:r>
    </w:p>
    <w:sectPr w:rsidR="0055572F" w:rsidRPr="00CB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2F"/>
    <w:rsid w:val="00020329"/>
    <w:rsid w:val="000E247D"/>
    <w:rsid w:val="00163DC1"/>
    <w:rsid w:val="0022501C"/>
    <w:rsid w:val="003526BD"/>
    <w:rsid w:val="00367F80"/>
    <w:rsid w:val="00515F47"/>
    <w:rsid w:val="00530C3B"/>
    <w:rsid w:val="0055572F"/>
    <w:rsid w:val="005764F8"/>
    <w:rsid w:val="005A2A61"/>
    <w:rsid w:val="005C68C6"/>
    <w:rsid w:val="00601D4C"/>
    <w:rsid w:val="00B47AB1"/>
    <w:rsid w:val="00CB5F92"/>
    <w:rsid w:val="00CC62A6"/>
    <w:rsid w:val="00CE23F2"/>
    <w:rsid w:val="00D83CA5"/>
    <w:rsid w:val="00E8294C"/>
    <w:rsid w:val="00FE19F7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202"/>
  <w15:chartTrackingRefBased/>
  <w15:docId w15:val="{97FEE1D2-8F36-4DDE-893A-6FFA9DE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7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47A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5</cp:revision>
  <cp:lastPrinted>2024-06-03T10:49:00Z</cp:lastPrinted>
  <dcterms:created xsi:type="dcterms:W3CDTF">2024-06-03T10:39:00Z</dcterms:created>
  <dcterms:modified xsi:type="dcterms:W3CDTF">2024-07-02T10:28:00Z</dcterms:modified>
</cp:coreProperties>
</file>