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bookmarkStart w:id="0" w:name="_GoBack"/>
      <w:bookmarkEnd w:id="0"/>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proofErr w:type="spellStart"/>
      <w:r w:rsidR="008865C0">
        <w:rPr>
          <w:rFonts w:ascii="Times New Roman" w:eastAsia="Times New Roman" w:hAnsi="Times New Roman" w:cs="Times New Roman"/>
          <w:sz w:val="24"/>
          <w:szCs w:val="24"/>
          <w:lang w:eastAsia="pl-PL"/>
        </w:rPr>
        <w:t>t.j.Dz.U</w:t>
      </w:r>
      <w:proofErr w:type="spellEnd"/>
      <w:r w:rsidR="008865C0">
        <w:rPr>
          <w:rFonts w:ascii="Times New Roman" w:eastAsia="Times New Roman" w:hAnsi="Times New Roman" w:cs="Times New Roman"/>
          <w:sz w:val="24"/>
          <w:szCs w:val="24"/>
          <w:lang w:eastAsia="pl-PL"/>
        </w:rPr>
        <w:t>. z 2021 r. poz. 1129</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8865C0">
        <w:rPr>
          <w:rFonts w:ascii="Times New Roman" w:hAnsi="Times New Roman"/>
          <w:b/>
        </w:rPr>
        <w:t>Przebudowa dróg na terenie miasta Białobrzegi, gmina Białobrzegi</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 xml:space="preserve">towej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5E502D" w:rsidRPr="000B0FE7" w:rsidRDefault="000B0FE7" w:rsidP="005E502D">
      <w:pPr>
        <w:spacing w:after="0" w:line="240" w:lineRule="auto"/>
        <w:ind w:left="425"/>
        <w:jc w:val="both"/>
        <w:rPr>
          <w:rFonts w:ascii="Times New Roman" w:eastAsia="Times New Roman" w:hAnsi="Times New Roman" w:cs="Times New Roman"/>
          <w:sz w:val="24"/>
          <w:szCs w:val="24"/>
          <w:lang w:eastAsia="pl-PL"/>
        </w:rPr>
      </w:pPr>
      <w:r w:rsidRPr="000B0FE7">
        <w:rPr>
          <w:rFonts w:ascii="Times New Roman" w:hAnsi="Times New Roman" w:cs="Times New Roman"/>
          <w:sz w:val="24"/>
          <w:szCs w:val="24"/>
        </w:rPr>
        <w:t>Zakres robót realizowanych w ramach zamówienia obejmuje w szczególności</w:t>
      </w:r>
      <w:r w:rsidR="005E502D" w:rsidRPr="000B0FE7">
        <w:rPr>
          <w:rFonts w:ascii="Times New Roman" w:eastAsia="Times New Roman" w:hAnsi="Times New Roman" w:cs="Times New Roman"/>
          <w:sz w:val="24"/>
          <w:szCs w:val="24"/>
          <w:lang w:eastAsia="pl-PL"/>
        </w:rPr>
        <w:t>:</w:t>
      </w:r>
    </w:p>
    <w:p w:rsidR="008865C0" w:rsidRPr="008865C0" w:rsidRDefault="008865C0" w:rsidP="008865C0">
      <w:pPr>
        <w:pStyle w:val="Akapitzlist"/>
        <w:numPr>
          <w:ilvl w:val="0"/>
          <w:numId w:val="61"/>
        </w:numPr>
        <w:spacing w:after="0" w:line="240" w:lineRule="auto"/>
        <w:rPr>
          <w:rFonts w:ascii="Times New Roman" w:hAnsi="Times New Roman" w:cs="Times New Roman"/>
          <w:color w:val="000000"/>
        </w:rPr>
      </w:pPr>
      <w:r w:rsidRPr="008865C0">
        <w:rPr>
          <w:rFonts w:ascii="Times New Roman" w:hAnsi="Times New Roman" w:cs="Times New Roman"/>
          <w:color w:val="000000"/>
        </w:rPr>
        <w:t>budowę jezdni,</w:t>
      </w:r>
    </w:p>
    <w:p w:rsidR="008865C0" w:rsidRPr="008865C0" w:rsidRDefault="008865C0" w:rsidP="008865C0">
      <w:pPr>
        <w:pStyle w:val="Akapitzlist"/>
        <w:numPr>
          <w:ilvl w:val="0"/>
          <w:numId w:val="61"/>
        </w:numPr>
        <w:spacing w:after="0" w:line="240" w:lineRule="auto"/>
        <w:rPr>
          <w:rFonts w:ascii="Times New Roman" w:hAnsi="Times New Roman" w:cs="Times New Roman"/>
          <w:color w:val="000000"/>
        </w:rPr>
      </w:pPr>
      <w:r w:rsidRPr="008865C0">
        <w:rPr>
          <w:rFonts w:ascii="Times New Roman" w:hAnsi="Times New Roman" w:cs="Times New Roman"/>
          <w:color w:val="000000"/>
        </w:rPr>
        <w:t>budowę chodników,</w:t>
      </w:r>
    </w:p>
    <w:p w:rsidR="008865C0" w:rsidRPr="008865C0" w:rsidRDefault="008865C0" w:rsidP="008865C0">
      <w:pPr>
        <w:pStyle w:val="Akapitzlist"/>
        <w:numPr>
          <w:ilvl w:val="0"/>
          <w:numId w:val="61"/>
        </w:numPr>
        <w:spacing w:after="0" w:line="240" w:lineRule="auto"/>
        <w:rPr>
          <w:rFonts w:ascii="Times New Roman" w:hAnsi="Times New Roman" w:cs="Times New Roman"/>
          <w:color w:val="000000"/>
        </w:rPr>
      </w:pPr>
      <w:r w:rsidRPr="008865C0">
        <w:rPr>
          <w:rFonts w:ascii="Times New Roman" w:hAnsi="Times New Roman" w:cs="Times New Roman"/>
          <w:color w:val="000000"/>
        </w:rPr>
        <w:t>budowę ścieżek rowerowych i pieszo-rowerowych,</w:t>
      </w:r>
    </w:p>
    <w:p w:rsidR="008865C0" w:rsidRPr="008865C0" w:rsidRDefault="008865C0" w:rsidP="008865C0">
      <w:pPr>
        <w:pStyle w:val="Akapitzlist"/>
        <w:numPr>
          <w:ilvl w:val="0"/>
          <w:numId w:val="61"/>
        </w:numPr>
        <w:spacing w:after="0" w:line="240" w:lineRule="auto"/>
        <w:rPr>
          <w:rFonts w:ascii="Times New Roman" w:hAnsi="Times New Roman" w:cs="Times New Roman"/>
          <w:color w:val="000000"/>
        </w:rPr>
      </w:pPr>
      <w:r w:rsidRPr="008865C0">
        <w:rPr>
          <w:rFonts w:ascii="Times New Roman" w:hAnsi="Times New Roman" w:cs="Times New Roman"/>
          <w:color w:val="000000"/>
        </w:rPr>
        <w:t>budowę kanalizacji deszczowej,</w:t>
      </w:r>
    </w:p>
    <w:p w:rsidR="008865C0" w:rsidRPr="008865C0" w:rsidRDefault="008865C0" w:rsidP="008865C0">
      <w:pPr>
        <w:pStyle w:val="Akapitzlist"/>
        <w:numPr>
          <w:ilvl w:val="0"/>
          <w:numId w:val="61"/>
        </w:numPr>
        <w:spacing w:after="0" w:line="240" w:lineRule="auto"/>
        <w:rPr>
          <w:rFonts w:ascii="Times New Roman" w:hAnsi="Times New Roman" w:cs="Times New Roman"/>
          <w:color w:val="000000"/>
        </w:rPr>
      </w:pPr>
      <w:r w:rsidRPr="008865C0">
        <w:rPr>
          <w:rFonts w:ascii="Times New Roman" w:hAnsi="Times New Roman" w:cs="Times New Roman"/>
          <w:color w:val="000000"/>
        </w:rPr>
        <w:t>budowę oświetlenia ulicznego,</w:t>
      </w:r>
    </w:p>
    <w:p w:rsidR="008865C0" w:rsidRPr="008865C0" w:rsidRDefault="008865C0" w:rsidP="008865C0">
      <w:pPr>
        <w:pStyle w:val="Akapitzlist"/>
        <w:numPr>
          <w:ilvl w:val="0"/>
          <w:numId w:val="61"/>
        </w:numPr>
        <w:spacing w:after="0" w:line="240" w:lineRule="auto"/>
        <w:rPr>
          <w:rFonts w:ascii="Times New Roman" w:hAnsi="Times New Roman" w:cs="Times New Roman"/>
          <w:color w:val="000000"/>
        </w:rPr>
      </w:pPr>
      <w:r w:rsidRPr="008865C0">
        <w:rPr>
          <w:rFonts w:ascii="Times New Roman" w:hAnsi="Times New Roman" w:cs="Times New Roman"/>
          <w:color w:val="000000"/>
        </w:rPr>
        <w:t>wykonanie oznakowania pionowego i poziomego.</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dokumentacja pr</w:t>
      </w:r>
      <w:r w:rsidR="00976DAF" w:rsidRPr="00DF11C3">
        <w:rPr>
          <w:rFonts w:ascii="Times New Roman" w:eastAsia="Times New Roman" w:hAnsi="Times New Roman" w:cs="Times New Roman"/>
          <w:sz w:val="24"/>
          <w:szCs w:val="24"/>
          <w:lang w:eastAsia="pl-PL"/>
        </w:rPr>
        <w:t>ojektowa, o której mowa w ust. 3</w:t>
      </w:r>
      <w:r w:rsidRPr="00DF11C3">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sidRPr="00DF11C3">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wykona wszystkie roboty niezbędne do osiągnięcia rezultatu określonego w ust. 3, niezależnie od tego, czy wynikają</w:t>
      </w:r>
      <w:r w:rsidRPr="006046A9">
        <w:rPr>
          <w:rFonts w:ascii="Times New Roman" w:eastAsia="Times New Roman" w:hAnsi="Times New Roman" w:cs="Times New Roman"/>
          <w:sz w:val="24"/>
          <w:szCs w:val="24"/>
          <w:lang w:eastAsia="pl-PL"/>
        </w:rPr>
        <w:t xml:space="preserve">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lastRenderedPageBreak/>
        <w:t>Obowiązujące normy.</w:t>
      </w:r>
    </w:p>
    <w:p w:rsidR="00F961F3" w:rsidRPr="00D7124C" w:rsidRDefault="00187C2A" w:rsidP="000B0FE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8865C0">
        <w:rPr>
          <w:rFonts w:ascii="Times New Roman" w:eastAsia="Times New Roman" w:hAnsi="Times New Roman" w:cs="Times New Roman"/>
          <w:sz w:val="24"/>
          <w:szCs w:val="24"/>
          <w:lang w:eastAsia="pl-PL"/>
        </w:rPr>
        <w:t xml:space="preserve"> oddalonych do 1</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do </w:t>
      </w:r>
      <w:r w:rsidR="00781868" w:rsidRPr="000B0FE7">
        <w:rPr>
          <w:rFonts w:ascii="Times New Roman" w:eastAsia="Times New Roman" w:hAnsi="Times New Roman" w:cs="Times New Roman"/>
          <w:sz w:val="24"/>
          <w:szCs w:val="24"/>
          <w:lang w:eastAsia="pl-PL"/>
        </w:rPr>
        <w:t>7</w:t>
      </w:r>
      <w:r w:rsidRPr="000B0FE7">
        <w:rPr>
          <w:rFonts w:ascii="Times New Roman" w:eastAsia="Times New Roman" w:hAnsi="Times New Roman" w:cs="Times New Roman"/>
          <w:sz w:val="24"/>
          <w:szCs w:val="24"/>
          <w:lang w:eastAsia="pl-PL"/>
        </w:rPr>
        <w:t xml:space="preserve"> dni</w:t>
      </w:r>
      <w:r w:rsidR="00781868" w:rsidRPr="000B0FE7">
        <w:rPr>
          <w:rFonts w:ascii="Times New Roman" w:eastAsia="Times New Roman" w:hAnsi="Times New Roman" w:cs="Times New Roman"/>
          <w:sz w:val="24"/>
          <w:szCs w:val="24"/>
          <w:lang w:eastAsia="pl-PL"/>
        </w:rPr>
        <w:t xml:space="preserve"> kalendarzowych</w:t>
      </w:r>
      <w:r w:rsidRPr="000B0FE7">
        <w:rPr>
          <w:rFonts w:ascii="Times New Roman" w:eastAsia="Times New Roman" w:hAnsi="Times New Roman" w:cs="Times New Roman"/>
          <w:sz w:val="24"/>
          <w:szCs w:val="24"/>
          <w:lang w:eastAsia="pl-PL"/>
        </w:rPr>
        <w:t xml:space="preserve"> od dnia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okresie </w:t>
      </w:r>
      <w:r w:rsidR="008865C0">
        <w:rPr>
          <w:rFonts w:ascii="Times New Roman" w:eastAsia="Times New Roman" w:hAnsi="Times New Roman" w:cs="Times New Roman"/>
          <w:b/>
          <w:sz w:val="24"/>
          <w:szCs w:val="24"/>
          <w:lang w:eastAsia="pl-PL"/>
        </w:rPr>
        <w:t>15</w:t>
      </w:r>
      <w:r w:rsidR="000F4F7B" w:rsidRPr="000B0FE7">
        <w:rPr>
          <w:rFonts w:ascii="Times New Roman" w:eastAsia="Times New Roman" w:hAnsi="Times New Roman" w:cs="Times New Roman"/>
          <w:b/>
          <w:sz w:val="24"/>
          <w:szCs w:val="24"/>
          <w:lang w:eastAsia="pl-PL"/>
        </w:rPr>
        <w:t xml:space="preserve"> miesięcy 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Za ewentualne opóźnienia w </w:t>
      </w:r>
      <w:r w:rsidR="0015498C">
        <w:rPr>
          <w:rFonts w:ascii="Times New Roman" w:eastAsia="Times New Roman" w:hAnsi="Times New Roman" w:cs="Times New Roman"/>
          <w:sz w:val="24"/>
          <w:szCs w:val="24"/>
          <w:lang w:eastAsia="pl-PL"/>
        </w:rPr>
        <w:t>dostępie do</w:t>
      </w:r>
      <w:r w:rsidRPr="00D7124C">
        <w:rPr>
          <w:rFonts w:ascii="Times New Roman" w:eastAsia="Times New Roman" w:hAnsi="Times New Roman" w:cs="Times New Roman"/>
          <w:sz w:val="24"/>
          <w:szCs w:val="24"/>
          <w:lang w:eastAsia="pl-PL"/>
        </w:rPr>
        <w:t xml:space="preserve"> placu budowy </w:t>
      </w:r>
      <w:r w:rsidR="0015498C">
        <w:rPr>
          <w:rFonts w:ascii="Times New Roman" w:eastAsia="Times New Roman" w:hAnsi="Times New Roman" w:cs="Times New Roman"/>
          <w:sz w:val="24"/>
          <w:szCs w:val="24"/>
          <w:lang w:eastAsia="pl-PL"/>
        </w:rPr>
        <w:t>pełną odpowiedzialność ponosi Wykonawca</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w:t>
      </w:r>
      <w:r w:rsidR="00A113C6">
        <w:rPr>
          <w:rFonts w:ascii="Times New Roman" w:eastAsia="Times New Roman" w:hAnsi="Times New Roman" w:cs="Times New Roman"/>
          <w:sz w:val="24"/>
          <w:szCs w:val="24"/>
          <w:lang w:eastAsia="pl-PL"/>
        </w:rPr>
        <w:t xml:space="preserve">ego przez Wykonawcę w </w:t>
      </w:r>
      <w:r w:rsidRPr="00D7124C">
        <w:rPr>
          <w:rFonts w:ascii="Times New Roman" w:eastAsia="Times New Roman" w:hAnsi="Times New Roman" w:cs="Times New Roman"/>
          <w:sz w:val="24"/>
          <w:szCs w:val="24"/>
          <w:lang w:eastAsia="pl-PL"/>
        </w:rPr>
        <w:t>wynagrodzeniu nie stanowi podstawy do ponoszenia przez Zamawiającego jakichkolwiek dodatkowych kosztów w terminie późniejszym.</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nej 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t>
      </w:r>
      <w:r w:rsidRPr="00D7124C">
        <w:rPr>
          <w:rFonts w:ascii="Times New Roman" w:eastAsia="Times New Roman" w:hAnsi="Times New Roman" w:cs="Times New Roman"/>
          <w:sz w:val="24"/>
          <w:szCs w:val="24"/>
          <w:lang w:eastAsia="pl-PL"/>
        </w:rPr>
        <w:lastRenderedPageBreak/>
        <w:t>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AC3AC0" w:rsidRPr="00FA71F3">
        <w:rPr>
          <w:rFonts w:ascii="Times New Roman" w:eastAsia="Times New Roman" w:hAnsi="Times New Roman" w:cs="Times New Roman"/>
          <w:sz w:val="24"/>
          <w:szCs w:val="24"/>
          <w:lang w:eastAsia="pl-PL"/>
        </w:rPr>
        <w:t xml:space="preserve"> będzie</w:t>
      </w:r>
      <w:r w:rsidR="005856F0" w:rsidRPr="00FA71F3">
        <w:rPr>
          <w:rFonts w:ascii="Times New Roman" w:eastAsia="Times New Roman" w:hAnsi="Times New Roman" w:cs="Times New Roman"/>
          <w:sz w:val="24"/>
          <w:szCs w:val="24"/>
          <w:lang w:eastAsia="pl-PL"/>
        </w:rPr>
        <w:t xml:space="preserve"> </w:t>
      </w:r>
      <w:r w:rsidR="005856F0" w:rsidRPr="00FA71F3">
        <w:rPr>
          <w:rFonts w:ascii="Times New Roman" w:hAnsi="Times New Roman"/>
          <w:color w:val="000000"/>
        </w:rPr>
        <w:t xml:space="preserve">w </w:t>
      </w:r>
      <w:r w:rsidR="00FA71F3" w:rsidRPr="00FA71F3">
        <w:rPr>
          <w:rFonts w:ascii="Times New Roman" w:hAnsi="Times New Roman"/>
          <w:color w:val="000000"/>
        </w:rPr>
        <w:t>trz</w:t>
      </w:r>
      <w:r w:rsidR="00B95AD1" w:rsidRPr="00FA71F3">
        <w:rPr>
          <w:rFonts w:ascii="Times New Roman" w:hAnsi="Times New Roman"/>
          <w:color w:val="000000"/>
        </w:rPr>
        <w:t>ec</w:t>
      </w:r>
      <w:r w:rsidR="005856F0" w:rsidRPr="00FA71F3">
        <w:rPr>
          <w:rFonts w:ascii="Times New Roman" w:hAnsi="Times New Roman"/>
          <w:color w:val="000000"/>
        </w:rPr>
        <w:t>h płatnościach</w:t>
      </w:r>
      <w:r w:rsidR="0021318D" w:rsidRPr="00FA71F3">
        <w:rPr>
          <w:rFonts w:ascii="Times New Roman" w:hAnsi="Times New Roman"/>
          <w:color w:val="000000"/>
        </w:rPr>
        <w:t xml:space="preserve"> po zrealizowaniu kolejnych etapów przedsięwzięcia objętego umową</w:t>
      </w:r>
      <w:r w:rsidR="005856F0" w:rsidRPr="00FA71F3">
        <w:rPr>
          <w:rFonts w:ascii="Times New Roman" w:hAnsi="Times New Roman"/>
          <w:color w:val="000000"/>
        </w:rPr>
        <w:t>, na podstawie prawidłowo wystawionych przez Wykonawcę faktur</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FA71F3" w:rsidRPr="00FA71F3">
        <w:rPr>
          <w:rFonts w:ascii="Times New Roman" w:hAnsi="Times New Roman"/>
          <w:color w:val="000000"/>
        </w:rPr>
        <w:t>dwie</w:t>
      </w:r>
      <w:r w:rsidR="00384318" w:rsidRPr="00FA71F3">
        <w:rPr>
          <w:rFonts w:ascii="Times New Roman" w:hAnsi="Times New Roman"/>
          <w:color w:val="000000"/>
        </w:rPr>
        <w:t xml:space="preserve"> faktury</w:t>
      </w:r>
      <w:r w:rsidR="00D54A5C" w:rsidRPr="00FA71F3">
        <w:rPr>
          <w:rFonts w:ascii="Times New Roman" w:hAnsi="Times New Roman"/>
          <w:color w:val="000000"/>
        </w:rPr>
        <w:t xml:space="preserve"> częściowe</w:t>
      </w:r>
      <w:r w:rsidR="00FA71F3" w:rsidRPr="00FA71F3">
        <w:rPr>
          <w:rFonts w:ascii="Times New Roman" w:hAnsi="Times New Roman"/>
          <w:color w:val="000000"/>
        </w:rPr>
        <w:t xml:space="preserve"> </w:t>
      </w:r>
      <w:r w:rsidR="008F65CE" w:rsidRPr="00FA71F3">
        <w:rPr>
          <w:rFonts w:ascii="Times New Roman" w:hAnsi="Times New Roman"/>
          <w:color w:val="000000"/>
        </w:rPr>
        <w:t xml:space="preserve"> po zrealizowaniu założonych etapów przedsięwzięcia: pierwszy </w:t>
      </w:r>
      <w:r w:rsidR="00FA71F3" w:rsidRPr="00FA71F3">
        <w:rPr>
          <w:rFonts w:ascii="Times New Roman" w:hAnsi="Times New Roman"/>
          <w:color w:val="000000"/>
        </w:rPr>
        <w:t>30% i kolejnych 40% i</w:t>
      </w:r>
      <w:r w:rsidR="00FA71F3">
        <w:rPr>
          <w:rFonts w:ascii="Times New Roman" w:hAnsi="Times New Roman"/>
          <w:color w:val="000000"/>
        </w:rPr>
        <w:t xml:space="preserve"> </w:t>
      </w:r>
      <w:r w:rsidR="00384318" w:rsidRPr="00FA71F3">
        <w:rPr>
          <w:rFonts w:ascii="Times New Roman" w:hAnsi="Times New Roman"/>
          <w:color w:val="000000"/>
        </w:rPr>
        <w:t xml:space="preserve">po dokonaniu częściowych odbiorów prac a następnie fakturę końcową </w:t>
      </w:r>
      <w:r w:rsidR="0021318D" w:rsidRPr="00FA71F3">
        <w:rPr>
          <w:rFonts w:ascii="Times New Roman" w:hAnsi="Times New Roman"/>
          <w:i/>
          <w:color w:val="000000"/>
        </w:rPr>
        <w:t>(</w:t>
      </w:r>
      <w:r w:rsidR="00FA71F3">
        <w:rPr>
          <w:rFonts w:ascii="Times New Roman" w:hAnsi="Times New Roman"/>
          <w:i/>
          <w:color w:val="000000"/>
        </w:rPr>
        <w:t>ostatni etap 30%</w:t>
      </w:r>
      <w:r w:rsidR="0021318D" w:rsidRPr="00FA71F3">
        <w:rPr>
          <w:rFonts w:ascii="Times New Roman" w:hAnsi="Times New Roman"/>
          <w:i/>
          <w:color w:val="000000"/>
        </w:rPr>
        <w:t>)</w:t>
      </w:r>
      <w:r w:rsidR="0021318D" w:rsidRPr="00FA71F3">
        <w:rPr>
          <w:rFonts w:ascii="Times New Roman" w:hAnsi="Times New Roman"/>
          <w:color w:val="000000"/>
        </w:rPr>
        <w:t xml:space="preserve"> </w:t>
      </w:r>
      <w:r w:rsidR="00384318" w:rsidRPr="00FA71F3">
        <w:rPr>
          <w:rFonts w:ascii="Times New Roman" w:hAnsi="Times New Roman"/>
          <w:color w:val="000000"/>
        </w:rPr>
        <w:t>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odbioru końcowego robót;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dokonanie zapłaty Wykonawcy odpowiedniego wynagrodzenia za wykonane roboty, na zasadach określonych w § 5.</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554CB9">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554CB9">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004F0BE9">
        <w:rPr>
          <w:rFonts w:ascii="Times New Roman" w:eastAsia="Times New Roman" w:hAnsi="Times New Roman" w:cs="Times New Roman"/>
          <w:sz w:val="24"/>
          <w:szCs w:val="24"/>
          <w:lang w:eastAsia="pl-PL"/>
        </w:rPr>
        <w:t>projektowej.</w:t>
      </w:r>
    </w:p>
    <w:p w:rsidR="00F961F3" w:rsidRPr="000A76A6" w:rsidRDefault="00F961F3" w:rsidP="00554CB9">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0864" w:rsidRPr="00D94CA2" w:rsidRDefault="00F90864"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w:t>
      </w:r>
      <w:r w:rsidR="00735179">
        <w:rPr>
          <w:rFonts w:ascii="Times New Roman" w:eastAsia="Times New Roman" w:hAnsi="Times New Roman" w:cs="Times New Roman"/>
          <w:sz w:val="24"/>
          <w:szCs w:val="24"/>
          <w:lang w:eastAsia="pl-PL"/>
        </w:rPr>
        <w:t>branżowe (elektryczne i sanitarne)</w:t>
      </w:r>
      <w:r>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 xml:space="preserve">zachowując prawo do </w:t>
      </w:r>
      <w:r w:rsidR="005055C2">
        <w:rPr>
          <w:rFonts w:ascii="Times New Roman" w:eastAsia="Times New Roman" w:hAnsi="Times New Roman" w:cs="Times New Roman"/>
          <w:sz w:val="24"/>
          <w:szCs w:val="24"/>
          <w:lang w:eastAsia="pl-PL"/>
        </w:rPr>
        <w:lastRenderedPageBreak/>
        <w:t>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w:t>
      </w:r>
      <w:r w:rsidRPr="00D94CA2">
        <w:rPr>
          <w:rFonts w:ascii="Times New Roman" w:eastAsia="Times New Roman" w:hAnsi="Times New Roman" w:cs="Times New Roman"/>
          <w:sz w:val="24"/>
          <w:szCs w:val="24"/>
          <w:lang w:eastAsia="pl-PL"/>
        </w:rPr>
        <w:lastRenderedPageBreak/>
        <w:t xml:space="preserve">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zobowiązuje się, iż zarówno on jak i Podwykonawcy będą zatrudniać pracowników wykonujących czynności wskazane w ust. 1 w ramach umowy o pracę w </w:t>
      </w:r>
      <w:r w:rsidRPr="00060B7F">
        <w:rPr>
          <w:rFonts w:ascii="Times New Roman" w:eastAsia="Times New Roman" w:hAnsi="Times New Roman" w:cs="Times New Roman"/>
          <w:sz w:val="24"/>
          <w:szCs w:val="24"/>
          <w:lang w:eastAsia="pl-PL"/>
        </w:rPr>
        <w:lastRenderedPageBreak/>
        <w:t>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w:t>
      </w:r>
      <w:r w:rsidRPr="00060B7F">
        <w:rPr>
          <w:rFonts w:ascii="Times New Roman" w:eastAsia="Times New Roman" w:hAnsi="Times New Roman" w:cs="Times New Roman"/>
          <w:sz w:val="24"/>
          <w:szCs w:val="24"/>
          <w:lang w:eastAsia="pl-PL"/>
        </w:rPr>
        <w:lastRenderedPageBreak/>
        <w:t>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adresu/siedziby/danych kontaktowych Zamawiającego/Wykonawcy, osób 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lastRenderedPageBreak/>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t>
      </w:r>
      <w:r w:rsidRPr="00716ACE">
        <w:rPr>
          <w:rFonts w:ascii="Times New Roman" w:eastAsia="Times New Roman" w:hAnsi="Times New Roman" w:cs="Times New Roman"/>
        </w:rPr>
        <w:lastRenderedPageBreak/>
        <w:t>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 xml:space="preserve">nieuregulowane przepisami prawa cywilnego (jak factoring, forfaiting i in.) mające na celu przeniesienie na osoby trzecie wierzytelności zarówno istniejących jak i </w:t>
      </w:r>
      <w:r w:rsidRPr="00E45E9E">
        <w:rPr>
          <w:rFonts w:ascii="Times New Roman" w:eastAsia="Times New Roman" w:hAnsi="Times New Roman" w:cs="Times New Roman"/>
          <w:sz w:val="24"/>
          <w:szCs w:val="24"/>
          <w:lang w:eastAsia="pl-PL"/>
        </w:rPr>
        <w:lastRenderedPageBreak/>
        <w:t>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311B70">
          <w:rPr>
            <w:noProof/>
          </w:rPr>
          <w:t>1</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9368F3">
      <w:rPr>
        <w:rFonts w:ascii="Times New Roman" w:eastAsiaTheme="majorEastAsia" w:hAnsi="Times New Roman" w:cs="Times New Roman"/>
      </w:rPr>
      <w:t>1</w:t>
    </w:r>
    <w:r w:rsidR="008865C0">
      <w:rPr>
        <w:rFonts w:ascii="Times New Roman" w:eastAsiaTheme="majorEastAsia" w:hAnsi="Times New Roman" w:cs="Times New Roman"/>
      </w:rPr>
      <w:t>4</w:t>
    </w:r>
    <w:r w:rsidRPr="00650E21">
      <w:rPr>
        <w:rFonts w:ascii="Times New Roman" w:eastAsiaTheme="majorEastAsia" w:hAnsi="Times New Roman" w:cs="Times New Roman"/>
      </w:rPr>
      <w:t>.2022</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E449AD6" wp14:editId="28F5065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728F4"/>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F65CE"/>
    <w:rsid w:val="00931ACB"/>
    <w:rsid w:val="009368F3"/>
    <w:rsid w:val="00955D82"/>
    <w:rsid w:val="00976DAF"/>
    <w:rsid w:val="00984E63"/>
    <w:rsid w:val="009C1CEC"/>
    <w:rsid w:val="00A113C6"/>
    <w:rsid w:val="00AC3AC0"/>
    <w:rsid w:val="00AF4EDA"/>
    <w:rsid w:val="00B03B9C"/>
    <w:rsid w:val="00B95AD1"/>
    <w:rsid w:val="00BD2F98"/>
    <w:rsid w:val="00BF7FEF"/>
    <w:rsid w:val="00C468A3"/>
    <w:rsid w:val="00C723CA"/>
    <w:rsid w:val="00CC1AB9"/>
    <w:rsid w:val="00CC2D44"/>
    <w:rsid w:val="00D0566D"/>
    <w:rsid w:val="00D54A5C"/>
    <w:rsid w:val="00D7124C"/>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ACF4B-AF17-4A48-A342-C49F7089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9752</Words>
  <Characters>58514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3</cp:revision>
  <dcterms:created xsi:type="dcterms:W3CDTF">2022-06-28T09:38:00Z</dcterms:created>
  <dcterms:modified xsi:type="dcterms:W3CDTF">2022-06-28T10:26:00Z</dcterms:modified>
</cp:coreProperties>
</file>