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3DA3" w14:textId="72DE38A3" w:rsidR="00A57CF1" w:rsidRPr="003F62EA" w:rsidRDefault="004E12F5" w:rsidP="004E12F5">
      <w:pPr>
        <w:keepNext/>
        <w:pageBreakBefore/>
        <w:spacing w:line="360" w:lineRule="auto"/>
        <w:ind w:left="1416" w:firstLine="708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A57CF1" w:rsidRPr="003F62EA" w14:paraId="4890C96E" w14:textId="77777777" w:rsidTr="00D64986">
        <w:tc>
          <w:tcPr>
            <w:tcW w:w="2950" w:type="dxa"/>
          </w:tcPr>
          <w:p w14:paraId="64987A18" w14:textId="1656D1DC" w:rsidR="00A57CF1" w:rsidRPr="004E12F5" w:rsidRDefault="004E12F5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E12F5">
              <w:rPr>
                <w:rFonts w:ascii="Arial Unicode MS" w:eastAsia="Arial Unicode MS" w:hAnsi="Arial Unicode MS" w:cs="Arial Unicode MS"/>
                <w:b/>
                <w:bCs/>
              </w:rPr>
              <w:t xml:space="preserve">Załącznik nr 3 </w:t>
            </w:r>
          </w:p>
        </w:tc>
      </w:tr>
      <w:tr w:rsidR="00A57CF1" w:rsidRPr="003F62EA" w14:paraId="222E570C" w14:textId="77777777" w:rsidTr="00D64986">
        <w:tc>
          <w:tcPr>
            <w:tcW w:w="2950" w:type="dxa"/>
          </w:tcPr>
          <w:p w14:paraId="758C4B36" w14:textId="77777777" w:rsidR="00A57CF1" w:rsidRPr="003F62EA" w:rsidRDefault="00A57CF1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57CF1" w:rsidRPr="003F62EA" w14:paraId="0DD6BF2C" w14:textId="77777777" w:rsidTr="00D64986">
        <w:tc>
          <w:tcPr>
            <w:tcW w:w="2950" w:type="dxa"/>
          </w:tcPr>
          <w:p w14:paraId="66CE27B9" w14:textId="77777777"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pieczęć wykonawcy</w:t>
            </w:r>
          </w:p>
        </w:tc>
      </w:tr>
    </w:tbl>
    <w:p w14:paraId="0270C218" w14:textId="77777777" w:rsidR="00A57CF1" w:rsidRPr="004E12F5" w:rsidRDefault="00A57CF1" w:rsidP="00A57CF1">
      <w:pPr>
        <w:pStyle w:val="Tekstpodstawowy"/>
        <w:spacing w:line="360" w:lineRule="auto"/>
        <w:jc w:val="center"/>
        <w:rPr>
          <w:rFonts w:ascii="Arial" w:hAnsi="Arial" w:cs="Arial"/>
          <w:color w:val="1F4E79" w:themeColor="accent5" w:themeShade="80"/>
          <w:u w:val="single"/>
        </w:rPr>
      </w:pPr>
    </w:p>
    <w:p w14:paraId="3AD2D4A8" w14:textId="7CC615FA" w:rsidR="00A57CF1" w:rsidRDefault="00A57CF1" w:rsidP="00A57CF1">
      <w:pPr>
        <w:spacing w:line="360" w:lineRule="auto"/>
        <w:jc w:val="center"/>
        <w:outlineLvl w:val="0"/>
        <w:rPr>
          <w:rFonts w:ascii="Arial" w:hAnsi="Arial" w:cs="Arial"/>
          <w:b/>
          <w:color w:val="1F4E79" w:themeColor="accent5" w:themeShade="80"/>
          <w:u w:val="single"/>
        </w:rPr>
      </w:pPr>
      <w:r w:rsidRPr="004E12F5">
        <w:rPr>
          <w:rFonts w:ascii="Arial" w:hAnsi="Arial" w:cs="Arial"/>
          <w:b/>
          <w:color w:val="1F4E79" w:themeColor="accent5" w:themeShade="80"/>
          <w:u w:val="single"/>
        </w:rPr>
        <w:t xml:space="preserve">Wyszczególnienie zakresu </w:t>
      </w:r>
      <w:proofErr w:type="spellStart"/>
      <w:r w:rsidRPr="004E12F5">
        <w:rPr>
          <w:rFonts w:ascii="Arial" w:hAnsi="Arial" w:cs="Arial"/>
          <w:b/>
          <w:color w:val="1F4E79" w:themeColor="accent5" w:themeShade="80"/>
          <w:u w:val="single"/>
        </w:rPr>
        <w:t>ryzyk</w:t>
      </w:r>
      <w:proofErr w:type="spellEnd"/>
      <w:r w:rsidRPr="004E12F5">
        <w:rPr>
          <w:rFonts w:ascii="Arial" w:hAnsi="Arial" w:cs="Arial"/>
          <w:b/>
          <w:color w:val="1F4E79" w:themeColor="accent5" w:themeShade="80"/>
          <w:u w:val="single"/>
        </w:rPr>
        <w:t xml:space="preserve"> dodatkowych podlegających ocenie przez Zamawiającego</w:t>
      </w:r>
    </w:p>
    <w:p w14:paraId="56460BCF" w14:textId="583FE4EE" w:rsidR="004E12F5" w:rsidRDefault="004E12F5" w:rsidP="00A57CF1">
      <w:pPr>
        <w:spacing w:line="360" w:lineRule="auto"/>
        <w:jc w:val="center"/>
        <w:outlineLvl w:val="0"/>
        <w:rPr>
          <w:rFonts w:ascii="Arial" w:hAnsi="Arial" w:cs="Arial"/>
          <w:b/>
          <w:color w:val="1F4E79" w:themeColor="accent5" w:themeShade="80"/>
          <w:u w:val="single"/>
        </w:rPr>
      </w:pPr>
    </w:p>
    <w:p w14:paraId="263E6B69" w14:textId="43AB52AB" w:rsidR="004E12F5" w:rsidRDefault="004E12F5" w:rsidP="00A57CF1">
      <w:pPr>
        <w:spacing w:line="360" w:lineRule="auto"/>
        <w:jc w:val="center"/>
        <w:outlineLvl w:val="0"/>
        <w:rPr>
          <w:rFonts w:ascii="Arial" w:hAnsi="Arial" w:cs="Arial"/>
          <w:b/>
          <w:color w:val="1F4E79" w:themeColor="accent5" w:themeShade="80"/>
          <w:u w:val="single"/>
        </w:rPr>
      </w:pPr>
    </w:p>
    <w:p w14:paraId="7E8FCED1" w14:textId="77777777" w:rsidR="004E12F5" w:rsidRDefault="004E12F5" w:rsidP="004E12F5">
      <w:pPr>
        <w:pStyle w:val="Tekstpodstawowy"/>
        <w:spacing w:line="360" w:lineRule="auto"/>
        <w:jc w:val="center"/>
        <w:rPr>
          <w:rFonts w:ascii="Arial" w:hAnsi="Arial" w:cs="Arial"/>
          <w:bCs w:val="0"/>
          <w:lang w:val="pl-PL"/>
        </w:rPr>
      </w:pPr>
      <w:r w:rsidRPr="004E12F5">
        <w:rPr>
          <w:rFonts w:ascii="Arial" w:hAnsi="Arial" w:cs="Arial"/>
          <w:bCs w:val="0"/>
        </w:rPr>
        <w:t xml:space="preserve">dla CZĘŚCI ZAMÓWIENIA NR </w:t>
      </w:r>
      <w:r w:rsidRPr="004E12F5">
        <w:rPr>
          <w:rFonts w:ascii="Arial" w:hAnsi="Arial" w:cs="Arial"/>
          <w:bCs w:val="0"/>
          <w:lang w:val="pl-PL"/>
        </w:rPr>
        <w:t>1</w:t>
      </w:r>
    </w:p>
    <w:p w14:paraId="1E8F3474" w14:textId="7CC01FFF" w:rsidR="004E12F5" w:rsidRPr="004E12F5" w:rsidRDefault="004E12F5" w:rsidP="004E12F5">
      <w:pPr>
        <w:pStyle w:val="Tekstpodstawowy"/>
        <w:spacing w:line="360" w:lineRule="auto"/>
        <w:rPr>
          <w:rFonts w:ascii="Arial" w:hAnsi="Arial" w:cs="Arial"/>
          <w:bCs w:val="0"/>
          <w:lang w:val="pl-PL" w:eastAsia="pl-PL"/>
        </w:rPr>
      </w:pPr>
      <w:r>
        <w:rPr>
          <w:rFonts w:ascii="Arial" w:hAnsi="Arial" w:cs="Arial"/>
          <w:bCs w:val="0"/>
          <w:lang w:val="pl-PL"/>
        </w:rPr>
        <w:t xml:space="preserve">1. </w:t>
      </w:r>
      <w:r w:rsidRPr="003F62EA">
        <w:rPr>
          <w:rFonts w:ascii="Arial" w:hAnsi="Arial" w:cs="Arial"/>
          <w:bCs w:val="0"/>
          <w:sz w:val="20"/>
        </w:rPr>
        <w:t xml:space="preserve">Ubezpieczenie </w:t>
      </w:r>
      <w:r>
        <w:rPr>
          <w:rFonts w:ascii="Arial" w:hAnsi="Arial" w:cs="Arial"/>
          <w:bCs w:val="0"/>
          <w:sz w:val="20"/>
          <w:lang w:val="pl-PL"/>
        </w:rPr>
        <w:t xml:space="preserve">mienia od wszystkich </w:t>
      </w:r>
      <w:proofErr w:type="spellStart"/>
      <w:r>
        <w:rPr>
          <w:rFonts w:ascii="Arial" w:hAnsi="Arial" w:cs="Arial"/>
          <w:bCs w:val="0"/>
          <w:sz w:val="20"/>
          <w:lang w:val="pl-PL"/>
        </w:rPr>
        <w:t>ryzyk</w:t>
      </w:r>
      <w:proofErr w:type="spellEnd"/>
      <w:r>
        <w:rPr>
          <w:rFonts w:ascii="Arial" w:hAnsi="Arial" w:cs="Arial"/>
          <w:bCs w:val="0"/>
          <w:sz w:val="20"/>
          <w:lang w:val="pl-PL"/>
        </w:rPr>
        <w:t xml:space="preserve"> i sprzętu elektronicznego </w:t>
      </w:r>
    </w:p>
    <w:p w14:paraId="3CD777F2" w14:textId="53086FEF" w:rsidR="00A57CF1" w:rsidRDefault="00A57CF1" w:rsidP="00F8746A">
      <w:pPr>
        <w:pStyle w:val="Nagwek4"/>
        <w:widowControl w:val="0"/>
        <w:tabs>
          <w:tab w:val="left" w:pos="0"/>
        </w:tabs>
        <w:suppressAutoHyphens/>
        <w:spacing w:line="360" w:lineRule="auto"/>
        <w:jc w:val="left"/>
        <w:rPr>
          <w:rFonts w:ascii="Arial" w:hAnsi="Arial" w:cs="Arial"/>
          <w:bCs w:val="0"/>
          <w:sz w:val="20"/>
        </w:rPr>
      </w:pPr>
    </w:p>
    <w:p w14:paraId="700557BE" w14:textId="77777777" w:rsidR="00F8746A" w:rsidRDefault="00F8746A" w:rsidP="00F8746A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  <w:b/>
          <w:bCs/>
          <w:color w:val="1F4E79" w:themeColor="accent5" w:themeShade="80"/>
          <w:u w:val="single"/>
        </w:rPr>
      </w:pPr>
      <w:r w:rsidRPr="00F153F2">
        <w:rPr>
          <w:rFonts w:ascii="Arial" w:hAnsi="Arial" w:cs="Arial"/>
          <w:b/>
          <w:bCs/>
          <w:color w:val="1F4E79" w:themeColor="accent5" w:themeShade="80"/>
          <w:u w:val="single"/>
        </w:rPr>
        <w:t xml:space="preserve">Ubezpieczenie od wszystkich </w:t>
      </w:r>
      <w:proofErr w:type="spellStart"/>
      <w:r w:rsidRPr="00F153F2">
        <w:rPr>
          <w:rFonts w:ascii="Arial" w:hAnsi="Arial" w:cs="Arial"/>
          <w:b/>
          <w:bCs/>
          <w:color w:val="1F4E79" w:themeColor="accent5" w:themeShade="80"/>
          <w:u w:val="single"/>
        </w:rPr>
        <w:t>ryzyk</w:t>
      </w:r>
      <w:proofErr w:type="spellEnd"/>
      <w:r w:rsidRPr="00F153F2">
        <w:rPr>
          <w:rFonts w:ascii="Arial" w:hAnsi="Arial" w:cs="Arial"/>
          <w:b/>
          <w:bCs/>
          <w:color w:val="1F4E79" w:themeColor="accent5" w:themeShade="80"/>
          <w:u w:val="single"/>
        </w:rPr>
        <w:t xml:space="preserve"> </w:t>
      </w:r>
      <w:r>
        <w:rPr>
          <w:rFonts w:ascii="Arial" w:hAnsi="Arial" w:cs="Arial"/>
          <w:b/>
          <w:bCs/>
          <w:color w:val="1F4E79" w:themeColor="accent5" w:themeShade="80"/>
          <w:u w:val="single"/>
          <w:lang w:val="pl-PL"/>
        </w:rPr>
        <w:t xml:space="preserve">, </w:t>
      </w:r>
      <w:r w:rsidRPr="00F153F2">
        <w:rPr>
          <w:rFonts w:ascii="Arial" w:hAnsi="Arial" w:cs="Arial"/>
          <w:b/>
          <w:bCs/>
          <w:color w:val="1F4E79" w:themeColor="accent5" w:themeShade="80"/>
          <w:u w:val="single"/>
        </w:rPr>
        <w:t>sprzętu elektronicznego</w:t>
      </w:r>
      <w:r>
        <w:rPr>
          <w:rFonts w:ascii="Arial" w:hAnsi="Arial" w:cs="Arial"/>
          <w:b/>
          <w:bCs/>
          <w:color w:val="1F4E79" w:themeColor="accent5" w:themeShade="80"/>
          <w:u w:val="single"/>
          <w:lang w:val="pl-PL"/>
        </w:rPr>
        <w:t xml:space="preserve"> i OC działalności. </w:t>
      </w:r>
    </w:p>
    <w:p w14:paraId="1803F881" w14:textId="77777777" w:rsidR="00F8746A" w:rsidRDefault="00F8746A" w:rsidP="00F8746A">
      <w:pPr>
        <w:pStyle w:val="Akapitzlist"/>
        <w:ind w:left="567"/>
        <w:rPr>
          <w:rFonts w:ascii="Arial" w:hAnsi="Arial" w:cs="Arial"/>
          <w:b/>
          <w:bCs/>
          <w:color w:val="1F4E79" w:themeColor="accent5" w:themeShade="80"/>
          <w:u w:val="single"/>
        </w:rPr>
      </w:pPr>
    </w:p>
    <w:tbl>
      <w:tblPr>
        <w:tblStyle w:val="TableNormal1"/>
        <w:tblW w:w="1077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2410"/>
        <w:gridCol w:w="993"/>
        <w:gridCol w:w="1134"/>
        <w:gridCol w:w="992"/>
      </w:tblGrid>
      <w:tr w:rsidR="000833D8" w:rsidRPr="00177394" w14:paraId="79F08EC4" w14:textId="6BC89262" w:rsidTr="0099779B">
        <w:trPr>
          <w:trHeight w:val="724"/>
        </w:trPr>
        <w:tc>
          <w:tcPr>
            <w:tcW w:w="709" w:type="dxa"/>
          </w:tcPr>
          <w:p w14:paraId="7ADBC4AE" w14:textId="77777777" w:rsidR="000833D8" w:rsidRPr="007B5547" w:rsidRDefault="000833D8" w:rsidP="000833D8">
            <w:pPr>
              <w:rPr>
                <w:rFonts w:ascii="Arial" w:eastAsia="Tahoma" w:hAnsi="Arial" w:cs="Arial"/>
                <w:i/>
                <w:sz w:val="20"/>
                <w:szCs w:val="20"/>
                <w:lang w:val="pl-PL"/>
              </w:rPr>
            </w:pPr>
          </w:p>
          <w:p w14:paraId="0B7B14BE" w14:textId="5C1549A9" w:rsidR="000833D8" w:rsidRPr="00177394" w:rsidRDefault="000833D8" w:rsidP="000833D8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>Nr</w:t>
            </w:r>
          </w:p>
        </w:tc>
        <w:tc>
          <w:tcPr>
            <w:tcW w:w="4537" w:type="dxa"/>
          </w:tcPr>
          <w:p w14:paraId="1E9C29B1" w14:textId="77777777" w:rsidR="000833D8" w:rsidRPr="00CB39C7" w:rsidRDefault="000833D8" w:rsidP="000833D8">
            <w:pPr>
              <w:rPr>
                <w:rFonts w:ascii="Arial" w:eastAsia="Tahoma" w:hAnsi="Arial" w:cs="Arial"/>
                <w:i/>
                <w:sz w:val="20"/>
                <w:szCs w:val="20"/>
              </w:rPr>
            </w:pPr>
          </w:p>
          <w:p w14:paraId="62E131B9" w14:textId="67F840A4" w:rsidR="000833D8" w:rsidRPr="00177394" w:rsidRDefault="000833D8" w:rsidP="000833D8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>Opis</w:t>
            </w:r>
            <w:proofErr w:type="spellEnd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>kryterium</w:t>
            </w:r>
            <w:proofErr w:type="spellEnd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>oceny</w:t>
            </w:r>
            <w:proofErr w:type="spellEnd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>ofert</w:t>
            </w:r>
            <w:proofErr w:type="spellEnd"/>
          </w:p>
        </w:tc>
        <w:tc>
          <w:tcPr>
            <w:tcW w:w="2410" w:type="dxa"/>
          </w:tcPr>
          <w:p w14:paraId="743D6AAF" w14:textId="342998B3" w:rsidR="000833D8" w:rsidRPr="00177394" w:rsidRDefault="000833D8" w:rsidP="000833D8">
            <w:pPr>
              <w:rPr>
                <w:rFonts w:ascii="Arial" w:eastAsia="Tahoma" w:hAnsi="Arial" w:cs="Arial"/>
                <w:b/>
                <w:iCs/>
                <w:sz w:val="20"/>
                <w:szCs w:val="20"/>
                <w:lang w:val="pl-PL"/>
              </w:rPr>
            </w:pPr>
            <w:r w:rsidRPr="007B5547">
              <w:rPr>
                <w:rFonts w:ascii="Arial" w:eastAsia="Tahoma" w:hAnsi="Arial" w:cs="Arial"/>
                <w:b/>
                <w:i/>
                <w:sz w:val="20"/>
                <w:szCs w:val="20"/>
                <w:u w:val="single"/>
                <w:lang w:val="pl-PL"/>
              </w:rPr>
              <w:t>Zmiany limitów</w:t>
            </w:r>
            <w:r w:rsidRPr="007B5547">
              <w:rPr>
                <w:rFonts w:ascii="Arial" w:eastAsia="Tahoma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7B5547">
              <w:rPr>
                <w:rFonts w:ascii="Arial" w:eastAsia="Tahoma" w:hAnsi="Arial" w:cs="Arial"/>
                <w:b/>
                <w:i/>
                <w:sz w:val="20"/>
                <w:szCs w:val="20"/>
                <w:u w:val="single"/>
                <w:lang w:val="pl-PL"/>
              </w:rPr>
              <w:t>wprowadzone w ofercie</w:t>
            </w:r>
            <w:r w:rsidRPr="007B5547">
              <w:rPr>
                <w:rFonts w:ascii="Arial" w:eastAsia="Tahoma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7B5547">
              <w:rPr>
                <w:rFonts w:ascii="Arial" w:eastAsia="Tahoma" w:hAnsi="Arial" w:cs="Arial"/>
                <w:b/>
                <w:i/>
                <w:sz w:val="20"/>
                <w:szCs w:val="20"/>
                <w:u w:val="single"/>
                <w:lang w:val="pl-PL"/>
              </w:rPr>
              <w:t>przez Wykonawcę</w:t>
            </w:r>
          </w:p>
        </w:tc>
        <w:tc>
          <w:tcPr>
            <w:tcW w:w="993" w:type="dxa"/>
          </w:tcPr>
          <w:p w14:paraId="7332ABAA" w14:textId="6EA3C2F2" w:rsidR="000833D8" w:rsidRPr="00177394" w:rsidRDefault="000833D8" w:rsidP="000833D8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>Liczba</w:t>
            </w:r>
            <w:proofErr w:type="spellEnd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b/>
                <w:i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1134" w:type="dxa"/>
          </w:tcPr>
          <w:p w14:paraId="068E656E" w14:textId="2D8C96A4" w:rsidR="000833D8" w:rsidRPr="00177394" w:rsidRDefault="000833D8" w:rsidP="000833D8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TAK / NIE</w:t>
            </w:r>
          </w:p>
        </w:tc>
        <w:tc>
          <w:tcPr>
            <w:tcW w:w="992" w:type="dxa"/>
          </w:tcPr>
          <w:p w14:paraId="08A4ADD2" w14:textId="55D1975E" w:rsidR="000833D8" w:rsidRDefault="000833D8" w:rsidP="000833D8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>Liczba</w:t>
            </w:r>
            <w:proofErr w:type="spellEnd"/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>punktów</w:t>
            </w:r>
            <w:proofErr w:type="spellEnd"/>
          </w:p>
        </w:tc>
      </w:tr>
      <w:tr w:rsidR="000833D8" w:rsidRPr="00177394" w14:paraId="723BD51D" w14:textId="5DEC1612" w:rsidTr="00396010">
        <w:trPr>
          <w:trHeight w:val="239"/>
        </w:trPr>
        <w:tc>
          <w:tcPr>
            <w:tcW w:w="709" w:type="dxa"/>
            <w:vMerge w:val="restart"/>
          </w:tcPr>
          <w:p w14:paraId="1CA1F8B4" w14:textId="4E15FFA5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B1</w:t>
            </w:r>
          </w:p>
        </w:tc>
        <w:tc>
          <w:tcPr>
            <w:tcW w:w="4537" w:type="dxa"/>
            <w:vMerge w:val="restart"/>
          </w:tcPr>
          <w:p w14:paraId="0CCEE2D7" w14:textId="57CF97FA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limitu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odpowiedzialności dla ryzyka przepięcia/przetężenia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z przyczyn innych niż wyładowania atmosferyczne</w:t>
            </w:r>
          </w:p>
        </w:tc>
        <w:tc>
          <w:tcPr>
            <w:tcW w:w="2410" w:type="dxa"/>
          </w:tcPr>
          <w:p w14:paraId="77E11696" w14:textId="51B1A4F9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</w:tcPr>
          <w:p w14:paraId="112C7972" w14:textId="139CEC7C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01B3A939" w14:textId="1C47C71F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4517971E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0D31A020" w14:textId="5E5EF9F7" w:rsidTr="00396010">
        <w:trPr>
          <w:trHeight w:val="474"/>
        </w:trPr>
        <w:tc>
          <w:tcPr>
            <w:tcW w:w="709" w:type="dxa"/>
            <w:vMerge/>
            <w:tcBorders>
              <w:top w:val="nil"/>
            </w:tcBorders>
          </w:tcPr>
          <w:p w14:paraId="7C6BBD68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C4E32FF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072FFC" w14:textId="7034A81D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100%</w:t>
            </w:r>
          </w:p>
        </w:tc>
        <w:tc>
          <w:tcPr>
            <w:tcW w:w="993" w:type="dxa"/>
          </w:tcPr>
          <w:p w14:paraId="01C8BE1A" w14:textId="53FD2EF5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vAlign w:val="center"/>
          </w:tcPr>
          <w:p w14:paraId="178B9A29" w14:textId="08AEA1B8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7CA8539D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768DD081" w14:textId="5A7B4B4A" w:rsidTr="00396010">
        <w:trPr>
          <w:trHeight w:val="239"/>
        </w:trPr>
        <w:tc>
          <w:tcPr>
            <w:tcW w:w="709" w:type="dxa"/>
            <w:vMerge w:val="restart"/>
          </w:tcPr>
          <w:p w14:paraId="43D89357" w14:textId="069B3AA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537" w:type="dxa"/>
            <w:vMerge w:val="restart"/>
          </w:tcPr>
          <w:p w14:paraId="6699456A" w14:textId="2196D34C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limitu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odpowiedzialności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(sumy ubezpieczenia) dla ryzyka kradzieży zwykłej</w:t>
            </w:r>
          </w:p>
        </w:tc>
        <w:tc>
          <w:tcPr>
            <w:tcW w:w="2410" w:type="dxa"/>
          </w:tcPr>
          <w:p w14:paraId="2108D5BE" w14:textId="2D503973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</w:tcPr>
          <w:p w14:paraId="6AFC9284" w14:textId="3E64E20C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4F6C2C4E" w14:textId="2E7EBED3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47043D35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15504BAB" w14:textId="51AE16B6" w:rsidTr="00396010">
        <w:trPr>
          <w:trHeight w:val="244"/>
        </w:trPr>
        <w:tc>
          <w:tcPr>
            <w:tcW w:w="709" w:type="dxa"/>
            <w:vMerge/>
            <w:tcBorders>
              <w:top w:val="nil"/>
            </w:tcBorders>
          </w:tcPr>
          <w:p w14:paraId="3984DD20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923DCA2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D3FBAF" w14:textId="344D9CDA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100%</w:t>
            </w:r>
          </w:p>
        </w:tc>
        <w:tc>
          <w:tcPr>
            <w:tcW w:w="993" w:type="dxa"/>
          </w:tcPr>
          <w:p w14:paraId="726B3154" w14:textId="7D0F3C56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vAlign w:val="center"/>
          </w:tcPr>
          <w:p w14:paraId="4C1EF16D" w14:textId="4F6B7A38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1EAA2228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661B301E" w14:textId="3C87C4D1" w:rsidTr="00396010">
        <w:trPr>
          <w:trHeight w:val="239"/>
        </w:trPr>
        <w:tc>
          <w:tcPr>
            <w:tcW w:w="709" w:type="dxa"/>
            <w:vMerge w:val="restart"/>
          </w:tcPr>
          <w:p w14:paraId="7D6891F4" w14:textId="77777777" w:rsidR="000833D8" w:rsidRPr="00CB39C7" w:rsidRDefault="000833D8" w:rsidP="000833D8">
            <w:pPr>
              <w:rPr>
                <w:rFonts w:ascii="Arial" w:eastAsia="Tahoma" w:hAnsi="Arial" w:cs="Arial"/>
                <w:i/>
                <w:sz w:val="20"/>
                <w:szCs w:val="20"/>
              </w:rPr>
            </w:pPr>
          </w:p>
          <w:p w14:paraId="4473A52E" w14:textId="2FB43B5F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4537" w:type="dxa"/>
            <w:vMerge w:val="restart"/>
          </w:tcPr>
          <w:p w14:paraId="2394A92F" w14:textId="011BACD2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Zwiększenie limitu odpowiedzialności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w </w:t>
            </w:r>
            <w:r w:rsidRPr="000B1AB0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OC za szkody wyrządzone w związku z wykonywaniem władzy publicznej</w:t>
            </w:r>
          </w:p>
        </w:tc>
        <w:tc>
          <w:tcPr>
            <w:tcW w:w="2410" w:type="dxa"/>
          </w:tcPr>
          <w:p w14:paraId="192B30E4" w14:textId="2A399146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</w:tcPr>
          <w:p w14:paraId="28FF52E0" w14:textId="3CBD8F34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2A43F7A2" w14:textId="693CA0D1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3F965341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46D8D749" w14:textId="06B1E892" w:rsidTr="00396010">
        <w:trPr>
          <w:trHeight w:val="239"/>
        </w:trPr>
        <w:tc>
          <w:tcPr>
            <w:tcW w:w="709" w:type="dxa"/>
            <w:vMerge/>
            <w:tcBorders>
              <w:top w:val="nil"/>
            </w:tcBorders>
          </w:tcPr>
          <w:p w14:paraId="3C11D972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3CFCF7F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57EFE3" w14:textId="57152AD8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100%</w:t>
            </w:r>
          </w:p>
        </w:tc>
        <w:tc>
          <w:tcPr>
            <w:tcW w:w="993" w:type="dxa"/>
          </w:tcPr>
          <w:p w14:paraId="169AAC83" w14:textId="0995166C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vAlign w:val="center"/>
          </w:tcPr>
          <w:p w14:paraId="71BF8857" w14:textId="55F25009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7233DB17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526C8FBA" w14:textId="479C9632" w:rsidTr="00396010">
        <w:trPr>
          <w:trHeight w:val="244"/>
        </w:trPr>
        <w:tc>
          <w:tcPr>
            <w:tcW w:w="709" w:type="dxa"/>
            <w:vMerge w:val="restart"/>
          </w:tcPr>
          <w:p w14:paraId="40366F83" w14:textId="77777777" w:rsidR="000833D8" w:rsidRPr="00CB39C7" w:rsidRDefault="000833D8" w:rsidP="000833D8">
            <w:pPr>
              <w:rPr>
                <w:rFonts w:ascii="Arial" w:eastAsia="Tahoma" w:hAnsi="Arial" w:cs="Arial"/>
                <w:i/>
                <w:sz w:val="20"/>
                <w:szCs w:val="20"/>
              </w:rPr>
            </w:pPr>
          </w:p>
          <w:p w14:paraId="19ED9526" w14:textId="0360D2C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537" w:type="dxa"/>
            <w:vMerge w:val="restart"/>
          </w:tcPr>
          <w:p w14:paraId="1B43D4E7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 limitu odpowiedzialności dla ryzyka zalania</w:t>
            </w:r>
          </w:p>
          <w:p w14:paraId="4A7F99C3" w14:textId="144B5F83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przez nieszczelny dach, okna i złącza (klauzula </w:t>
            </w:r>
            <w:proofErr w:type="spellStart"/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zalaniowa</w:t>
            </w:r>
            <w:proofErr w:type="spellEnd"/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2410" w:type="dxa"/>
          </w:tcPr>
          <w:p w14:paraId="1C3AA835" w14:textId="3983016A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</w:tcPr>
          <w:p w14:paraId="1153AEFB" w14:textId="57223BF8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6B9B981E" w14:textId="4BF54881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5D3AE057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06EC5B25" w14:textId="557A6D9A" w:rsidTr="00396010">
        <w:trPr>
          <w:trHeight w:val="470"/>
        </w:trPr>
        <w:tc>
          <w:tcPr>
            <w:tcW w:w="709" w:type="dxa"/>
            <w:vMerge/>
            <w:tcBorders>
              <w:top w:val="nil"/>
            </w:tcBorders>
          </w:tcPr>
          <w:p w14:paraId="29D2A36B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0D41957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CCD70" w14:textId="1E0083B4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100%</w:t>
            </w:r>
          </w:p>
        </w:tc>
        <w:tc>
          <w:tcPr>
            <w:tcW w:w="993" w:type="dxa"/>
          </w:tcPr>
          <w:p w14:paraId="38C20952" w14:textId="0C2B800F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vAlign w:val="center"/>
          </w:tcPr>
          <w:p w14:paraId="7340A5DB" w14:textId="1BEB5189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54CB856F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3218DB88" w14:textId="47C141E0" w:rsidTr="00396010">
        <w:trPr>
          <w:trHeight w:val="239"/>
        </w:trPr>
        <w:tc>
          <w:tcPr>
            <w:tcW w:w="709" w:type="dxa"/>
            <w:vMerge w:val="restart"/>
          </w:tcPr>
          <w:p w14:paraId="5570A5E7" w14:textId="77777777" w:rsidR="000833D8" w:rsidRPr="00CB39C7" w:rsidRDefault="000833D8" w:rsidP="000833D8">
            <w:pPr>
              <w:rPr>
                <w:rFonts w:ascii="Arial" w:eastAsia="Tahoma" w:hAnsi="Arial" w:cs="Arial"/>
                <w:i/>
                <w:sz w:val="20"/>
                <w:szCs w:val="20"/>
              </w:rPr>
            </w:pPr>
          </w:p>
          <w:p w14:paraId="7A4E1BF6" w14:textId="5D997C3D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537" w:type="dxa"/>
            <w:vMerge w:val="restart"/>
          </w:tcPr>
          <w:p w14:paraId="07E092C5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 limitu odpowiedzialności dla przezornej</w:t>
            </w:r>
          </w:p>
          <w:p w14:paraId="38F712B9" w14:textId="4D6B4C1C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sumy ubezpieczenia (w klauzuli przezornej sumy ubezpieczenia)</w:t>
            </w:r>
          </w:p>
        </w:tc>
        <w:tc>
          <w:tcPr>
            <w:tcW w:w="2410" w:type="dxa"/>
          </w:tcPr>
          <w:p w14:paraId="799602E5" w14:textId="2B085C48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</w:tcPr>
          <w:p w14:paraId="0AF9F42B" w14:textId="0DC54355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316E66FF" w14:textId="2DA3B1FD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5C091327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7A8811E4" w14:textId="6BA01A47" w:rsidTr="00396010">
        <w:trPr>
          <w:trHeight w:val="273"/>
        </w:trPr>
        <w:tc>
          <w:tcPr>
            <w:tcW w:w="709" w:type="dxa"/>
            <w:vMerge/>
            <w:tcBorders>
              <w:top w:val="nil"/>
            </w:tcBorders>
          </w:tcPr>
          <w:p w14:paraId="7EAAB5F0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612A79A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B4C30B" w14:textId="274B5703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100%</w:t>
            </w:r>
          </w:p>
        </w:tc>
        <w:tc>
          <w:tcPr>
            <w:tcW w:w="993" w:type="dxa"/>
          </w:tcPr>
          <w:p w14:paraId="65AB5FD3" w14:textId="46CCD3E1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vAlign w:val="center"/>
          </w:tcPr>
          <w:p w14:paraId="20A0BDE7" w14:textId="7BEFF9BE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781CF878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41DB07FB" w14:textId="57F0BB73" w:rsidTr="00396010">
        <w:trPr>
          <w:trHeight w:val="239"/>
        </w:trPr>
        <w:tc>
          <w:tcPr>
            <w:tcW w:w="709" w:type="dxa"/>
            <w:vMerge w:val="restart"/>
          </w:tcPr>
          <w:p w14:paraId="5484B630" w14:textId="21124D18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537" w:type="dxa"/>
            <w:vMerge w:val="restart"/>
          </w:tcPr>
          <w:p w14:paraId="4AC406B6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limitu</w:t>
            </w: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ab/>
              <w:t>odpowiedzialności dla szkód</w:t>
            </w:r>
          </w:p>
          <w:p w14:paraId="0A6A47CA" w14:textId="5D42590B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mechanicznych (w klauzuli szkód mechanicznych)</w:t>
            </w:r>
          </w:p>
        </w:tc>
        <w:tc>
          <w:tcPr>
            <w:tcW w:w="2410" w:type="dxa"/>
          </w:tcPr>
          <w:p w14:paraId="2A50C5E3" w14:textId="35F1DB0E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</w:tcPr>
          <w:p w14:paraId="77C45418" w14:textId="76F00953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64257363" w14:textId="404CEF20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49541F97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4A856AD3" w14:textId="41F78BAF" w:rsidTr="00396010">
        <w:trPr>
          <w:trHeight w:val="470"/>
        </w:trPr>
        <w:tc>
          <w:tcPr>
            <w:tcW w:w="709" w:type="dxa"/>
            <w:vMerge/>
            <w:tcBorders>
              <w:top w:val="nil"/>
            </w:tcBorders>
          </w:tcPr>
          <w:p w14:paraId="0ACDEF98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96D51AB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E2D07C" w14:textId="0AEBCC2F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100%</w:t>
            </w:r>
          </w:p>
        </w:tc>
        <w:tc>
          <w:tcPr>
            <w:tcW w:w="993" w:type="dxa"/>
          </w:tcPr>
          <w:p w14:paraId="4564E3D6" w14:textId="3DF6113D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vAlign w:val="center"/>
          </w:tcPr>
          <w:p w14:paraId="670F2701" w14:textId="627E7743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50B68287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2C9299FE" w14:textId="764C7CAE" w:rsidTr="00396010">
        <w:trPr>
          <w:trHeight w:val="239"/>
        </w:trPr>
        <w:tc>
          <w:tcPr>
            <w:tcW w:w="709" w:type="dxa"/>
            <w:vMerge w:val="restart"/>
          </w:tcPr>
          <w:p w14:paraId="7B5FF192" w14:textId="338A472D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4537" w:type="dxa"/>
            <w:vMerge w:val="restart"/>
          </w:tcPr>
          <w:p w14:paraId="276606E4" w14:textId="5EE78F51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 limitu odpowiedzialności dla szkód elektrycznych (w klauzuli szkód elektrycznych)</w:t>
            </w:r>
          </w:p>
        </w:tc>
        <w:tc>
          <w:tcPr>
            <w:tcW w:w="2410" w:type="dxa"/>
          </w:tcPr>
          <w:p w14:paraId="102327CE" w14:textId="55964A48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</w:tcPr>
          <w:p w14:paraId="2FBACE8C" w14:textId="56912BC9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0D5FA78C" w14:textId="28B240F9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6F582302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3E152896" w14:textId="4466FC2A" w:rsidTr="00396010">
        <w:trPr>
          <w:trHeight w:val="239"/>
        </w:trPr>
        <w:tc>
          <w:tcPr>
            <w:tcW w:w="709" w:type="dxa"/>
            <w:vMerge/>
            <w:tcBorders>
              <w:top w:val="nil"/>
            </w:tcBorders>
          </w:tcPr>
          <w:p w14:paraId="0F2A638B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8397CCC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58BE2" w14:textId="15566FF6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100%</w:t>
            </w:r>
          </w:p>
        </w:tc>
        <w:tc>
          <w:tcPr>
            <w:tcW w:w="993" w:type="dxa"/>
          </w:tcPr>
          <w:p w14:paraId="3884148D" w14:textId="39DA4195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vAlign w:val="center"/>
          </w:tcPr>
          <w:p w14:paraId="65040DE9" w14:textId="59735F0E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3DE4B60B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7C816656" w14:textId="1B5D2FBF" w:rsidTr="00396010">
        <w:trPr>
          <w:trHeight w:val="239"/>
        </w:trPr>
        <w:tc>
          <w:tcPr>
            <w:tcW w:w="709" w:type="dxa"/>
            <w:vMerge w:val="restart"/>
          </w:tcPr>
          <w:p w14:paraId="4CC2CCBF" w14:textId="3960E78A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4537" w:type="dxa"/>
            <w:vMerge w:val="restart"/>
          </w:tcPr>
          <w:p w14:paraId="68359573" w14:textId="5F3BC0F3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 sumy gwarancyjnej w ubezpieczeniu odpowiedzialności cywilnej deliktowej i kontraktowej</w:t>
            </w:r>
          </w:p>
        </w:tc>
        <w:tc>
          <w:tcPr>
            <w:tcW w:w="2410" w:type="dxa"/>
          </w:tcPr>
          <w:p w14:paraId="6AB3435A" w14:textId="705991D1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SG o 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10</w:t>
            </w: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14:paraId="7A2BC715" w14:textId="10562DBE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sz w:val="20"/>
                <w:szCs w:val="20"/>
              </w:rPr>
              <w:t>10</w:t>
            </w: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14:paraId="33D3D727" w14:textId="3A128AAE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60FD687C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67D466DD" w14:textId="774AD803" w:rsidTr="007759E3">
        <w:trPr>
          <w:trHeight w:val="244"/>
        </w:trPr>
        <w:tc>
          <w:tcPr>
            <w:tcW w:w="709" w:type="dxa"/>
            <w:vMerge/>
            <w:tcBorders>
              <w:top w:val="nil"/>
            </w:tcBorders>
          </w:tcPr>
          <w:p w14:paraId="0B3FFF3C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12F5C5E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F74523" w14:textId="19B085FF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SG o 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00%</w:t>
            </w:r>
          </w:p>
        </w:tc>
        <w:tc>
          <w:tcPr>
            <w:tcW w:w="993" w:type="dxa"/>
          </w:tcPr>
          <w:p w14:paraId="29241207" w14:textId="45B66674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0 pkt</w:t>
            </w:r>
          </w:p>
        </w:tc>
        <w:tc>
          <w:tcPr>
            <w:tcW w:w="1134" w:type="dxa"/>
            <w:vAlign w:val="center"/>
          </w:tcPr>
          <w:p w14:paraId="484B1E6D" w14:textId="18DF7B0E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0D4DD51E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148811DC" w14:textId="09601A17" w:rsidTr="007759E3">
        <w:trPr>
          <w:trHeight w:val="239"/>
        </w:trPr>
        <w:tc>
          <w:tcPr>
            <w:tcW w:w="709" w:type="dxa"/>
            <w:vMerge w:val="restart"/>
          </w:tcPr>
          <w:p w14:paraId="5A7B2D33" w14:textId="73D27891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Tahoma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4537" w:type="dxa"/>
            <w:vMerge w:val="restart"/>
          </w:tcPr>
          <w:p w14:paraId="4281D7E4" w14:textId="755AEBD2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177394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Zwiększenie limitu odpowiedzialności w ubezpieczeniu odpowiedzialności cywilnej zarządcy drogi</w:t>
            </w:r>
          </w:p>
        </w:tc>
        <w:tc>
          <w:tcPr>
            <w:tcW w:w="2410" w:type="dxa"/>
          </w:tcPr>
          <w:p w14:paraId="0A4421EB" w14:textId="2E577EBE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25%</w:t>
            </w:r>
          </w:p>
        </w:tc>
        <w:tc>
          <w:tcPr>
            <w:tcW w:w="993" w:type="dxa"/>
          </w:tcPr>
          <w:p w14:paraId="72D5F0E9" w14:textId="187383B1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5 pkt</w:t>
            </w:r>
          </w:p>
        </w:tc>
        <w:tc>
          <w:tcPr>
            <w:tcW w:w="1134" w:type="dxa"/>
            <w:vAlign w:val="center"/>
          </w:tcPr>
          <w:p w14:paraId="0EE9F708" w14:textId="508091E4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</w:tcPr>
          <w:p w14:paraId="46D59EA6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0833D8" w:rsidRPr="00177394" w14:paraId="4243A67F" w14:textId="63A71D36" w:rsidTr="007759E3">
        <w:trPr>
          <w:trHeight w:val="239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4321D819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4" w:space="0" w:color="auto"/>
            </w:tcBorders>
          </w:tcPr>
          <w:p w14:paraId="046C133F" w14:textId="77777777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2B1B66" w14:textId="04D8967C" w:rsidR="000833D8" w:rsidRPr="00177394" w:rsidRDefault="000833D8" w:rsidP="000833D8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Zwiększenie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limitu</w:t>
            </w:r>
            <w:proofErr w:type="spellEnd"/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 xml:space="preserve"> o 50%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C6E4C8" w14:textId="361435B8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i/>
                <w:sz w:val="20"/>
                <w:szCs w:val="20"/>
              </w:rPr>
              <w:t>10 pkt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42E65E" w14:textId="6F69AE71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18852C" w14:textId="77777777" w:rsidR="000833D8" w:rsidRPr="00177394" w:rsidRDefault="000833D8" w:rsidP="000833D8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177394" w14:paraId="6BD0323B" w14:textId="77777777" w:rsidTr="0099779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25B82" w14:textId="77777777" w:rsidR="0099779B" w:rsidRPr="00177394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D5AEC" w14:textId="77777777" w:rsidR="0099779B" w:rsidRPr="00177394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601A0" w14:textId="77777777" w:rsidR="0099779B" w:rsidRPr="00177394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193490" w14:textId="77777777" w:rsidR="0099779B" w:rsidRPr="00177394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F31" w14:textId="0ADDF8D8" w:rsidR="0099779B" w:rsidRPr="0099779B" w:rsidRDefault="0099779B" w:rsidP="0099779B">
            <w:pPr>
              <w:jc w:val="right"/>
              <w:rPr>
                <w:rFonts w:ascii="Arial" w:eastAsia="Tahoma" w:hAnsi="Arial" w:cs="Arial"/>
                <w:b/>
                <w:bCs/>
                <w:iCs/>
                <w:sz w:val="20"/>
                <w:szCs w:val="20"/>
              </w:rPr>
            </w:pPr>
            <w:r w:rsidRPr="0099779B">
              <w:rPr>
                <w:rFonts w:ascii="Arial" w:eastAsia="Tahoma" w:hAnsi="Arial" w:cs="Arial"/>
                <w:b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48F" w14:textId="77777777" w:rsidR="0099779B" w:rsidRPr="00177394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</w:tbl>
    <w:p w14:paraId="32F2A40F" w14:textId="0CD6AECB" w:rsidR="00F8746A" w:rsidRDefault="00F8746A" w:rsidP="00F8746A">
      <w:pPr>
        <w:widowControl w:val="0"/>
        <w:autoSpaceDE w:val="0"/>
        <w:autoSpaceDN w:val="0"/>
        <w:rPr>
          <w:rFonts w:ascii="Arial" w:eastAsia="Tahoma" w:hAnsi="Arial" w:cs="Arial"/>
          <w:iCs/>
          <w:sz w:val="20"/>
          <w:szCs w:val="20"/>
        </w:rPr>
      </w:pPr>
    </w:p>
    <w:p w14:paraId="22FC6389" w14:textId="478344AD" w:rsidR="0099779B" w:rsidRDefault="0099779B" w:rsidP="00F8746A">
      <w:pPr>
        <w:widowControl w:val="0"/>
        <w:autoSpaceDE w:val="0"/>
        <w:autoSpaceDN w:val="0"/>
        <w:rPr>
          <w:rFonts w:ascii="Arial" w:eastAsia="Tahoma" w:hAnsi="Arial" w:cs="Arial"/>
          <w:iCs/>
          <w:sz w:val="20"/>
          <w:szCs w:val="20"/>
        </w:rPr>
      </w:pPr>
    </w:p>
    <w:p w14:paraId="218C9071" w14:textId="1F4C2A26" w:rsidR="00F8746A" w:rsidRPr="00C21D00" w:rsidRDefault="00F8746A" w:rsidP="00F8746A">
      <w:pPr>
        <w:pStyle w:val="Nagwek4"/>
        <w:widowControl w:val="0"/>
        <w:suppressAutoHyphens/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ilość punktów za ryzyka dodatkowe podlegające ocenie w CZEŚCI  I – </w:t>
      </w:r>
      <w:r>
        <w:rPr>
          <w:rFonts w:ascii="Arial" w:hAnsi="Arial" w:cs="Arial"/>
          <w:sz w:val="22"/>
          <w:szCs w:val="22"/>
        </w:rPr>
        <w:lastRenderedPageBreak/>
        <w:t xml:space="preserve">zwiększenie limitów – 100 pkt  </w:t>
      </w:r>
    </w:p>
    <w:p w14:paraId="288E1359" w14:textId="3D586C40" w:rsidR="00F8746A" w:rsidRDefault="00F8746A" w:rsidP="00F8746A">
      <w:pPr>
        <w:widowControl w:val="0"/>
        <w:autoSpaceDE w:val="0"/>
        <w:autoSpaceDN w:val="0"/>
        <w:ind w:right="130"/>
        <w:jc w:val="both"/>
        <w:rPr>
          <w:rFonts w:ascii="Arial" w:eastAsia="Tahoma" w:hAnsi="Arial" w:cs="Arial"/>
          <w:b/>
        </w:rPr>
      </w:pPr>
    </w:p>
    <w:p w14:paraId="043DABAB" w14:textId="77777777" w:rsidR="0099779B" w:rsidRPr="00CB39C7" w:rsidRDefault="0099779B" w:rsidP="00F8746A">
      <w:pPr>
        <w:widowControl w:val="0"/>
        <w:autoSpaceDE w:val="0"/>
        <w:autoSpaceDN w:val="0"/>
        <w:ind w:right="130"/>
        <w:jc w:val="both"/>
        <w:rPr>
          <w:rFonts w:ascii="Arial" w:eastAsia="Tahoma" w:hAnsi="Arial" w:cs="Arial"/>
          <w:b/>
        </w:rPr>
      </w:pPr>
    </w:p>
    <w:tbl>
      <w:tblPr>
        <w:tblStyle w:val="TableNormal1"/>
        <w:tblW w:w="10774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992"/>
        <w:gridCol w:w="1276"/>
        <w:gridCol w:w="1559"/>
      </w:tblGrid>
      <w:tr w:rsidR="0099779B" w:rsidRPr="00CB39C7" w14:paraId="6C5EFB67" w14:textId="130E4070" w:rsidTr="0099779B">
        <w:trPr>
          <w:trHeight w:val="479"/>
        </w:trPr>
        <w:tc>
          <w:tcPr>
            <w:tcW w:w="709" w:type="dxa"/>
          </w:tcPr>
          <w:p w14:paraId="6D88FE11" w14:textId="77777777" w:rsidR="0099779B" w:rsidRPr="00CB39C7" w:rsidRDefault="0099779B" w:rsidP="0099779B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Nr </w:t>
            </w:r>
            <w:proofErr w:type="spellStart"/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>klauzuli</w:t>
            </w:r>
            <w:proofErr w:type="spellEnd"/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3B87CFFB" w14:textId="77777777" w:rsidR="0099779B" w:rsidRPr="00CB39C7" w:rsidRDefault="0099779B" w:rsidP="0099779B">
            <w:pPr>
              <w:ind w:left="144" w:hanging="144"/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>Nazwa</w:t>
            </w:r>
            <w:proofErr w:type="spellEnd"/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>klauzuli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6442A91F" w14:textId="77777777" w:rsidR="0099779B" w:rsidRPr="00CB39C7" w:rsidRDefault="0099779B" w:rsidP="0099779B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>Liczba</w:t>
            </w:r>
            <w:proofErr w:type="spellEnd"/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B39C7">
              <w:rPr>
                <w:rFonts w:ascii="Arial" w:eastAsia="Tahoma" w:hAnsi="Arial" w:cs="Arial"/>
                <w:b/>
                <w:iCs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50E45C8E" w14:textId="3F9A998A" w:rsidR="0099779B" w:rsidRPr="00CB39C7" w:rsidRDefault="0099779B" w:rsidP="0099779B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TAK / 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24CAD664" w14:textId="2901207F" w:rsidR="0099779B" w:rsidRPr="00CB39C7" w:rsidRDefault="0099779B" w:rsidP="0099779B">
            <w:pPr>
              <w:rPr>
                <w:rFonts w:ascii="Arial" w:eastAsia="Tahom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>Liczba</w:t>
            </w:r>
            <w:proofErr w:type="spellEnd"/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>punktów</w:t>
            </w:r>
            <w:proofErr w:type="spellEnd"/>
          </w:p>
        </w:tc>
      </w:tr>
      <w:tr w:rsidR="0099779B" w:rsidRPr="00CB39C7" w14:paraId="437F0B93" w14:textId="02175F65" w:rsidTr="005B42BA">
        <w:trPr>
          <w:trHeight w:val="345"/>
        </w:trPr>
        <w:tc>
          <w:tcPr>
            <w:tcW w:w="709" w:type="dxa"/>
          </w:tcPr>
          <w:p w14:paraId="12DF82E6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38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23AD7B5C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Klauzul</w:t>
            </w:r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ubezpieczenia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kosztów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związanych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praca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godzinach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nadliczbowych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51624F0A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73148327" w14:textId="299CC823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55B34622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2D2AF3ED" w14:textId="6083763C" w:rsidTr="005B42BA">
        <w:trPr>
          <w:trHeight w:val="340"/>
        </w:trPr>
        <w:tc>
          <w:tcPr>
            <w:tcW w:w="709" w:type="dxa"/>
          </w:tcPr>
          <w:p w14:paraId="7BEBD12D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39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20C4B631" w14:textId="77777777" w:rsidR="0099779B" w:rsidRPr="007B554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ochrony mienia wyłączonego z eksploatacji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58E3F9B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2 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1F53FF45" w14:textId="7EB6A31B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2E5BB497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349431DB" w14:textId="0F0BBCF3" w:rsidTr="005B42BA">
        <w:trPr>
          <w:trHeight w:val="318"/>
        </w:trPr>
        <w:tc>
          <w:tcPr>
            <w:tcW w:w="709" w:type="dxa"/>
          </w:tcPr>
          <w:p w14:paraId="63DCA409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40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228DDE6A" w14:textId="77777777" w:rsidR="0099779B" w:rsidRPr="007B554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ochrony mienia nieprzygotowanego do pracy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79A46A0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2 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50A66DF3" w14:textId="3F9C2C15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505C669B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0533AA05" w14:textId="4627EBDA" w:rsidTr="005B42BA">
        <w:trPr>
          <w:trHeight w:val="266"/>
        </w:trPr>
        <w:tc>
          <w:tcPr>
            <w:tcW w:w="709" w:type="dxa"/>
          </w:tcPr>
          <w:p w14:paraId="34496E35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41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0015C452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>Klauzula</w:t>
            </w:r>
            <w:proofErr w:type="spellEnd"/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zmiany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lokalizacji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odbudowie</w:t>
            </w:r>
            <w:proofErr w:type="spellEnd"/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5E1921D4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14EDF049" w14:textId="65540369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048FF6C5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510BAF23" w14:textId="6F150A77" w:rsidTr="005B42BA">
        <w:trPr>
          <w:trHeight w:val="380"/>
        </w:trPr>
        <w:tc>
          <w:tcPr>
            <w:tcW w:w="709" w:type="dxa"/>
          </w:tcPr>
          <w:p w14:paraId="2A0E476D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42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00D6F0A0" w14:textId="77777777" w:rsidR="0099779B" w:rsidRPr="007B554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zmian w odbudowie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50D9DD4D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29434B3D" w14:textId="6313AE8E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153F6B4C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457A17F9" w14:textId="5231F1CF" w:rsidTr="005B42BA">
        <w:trPr>
          <w:trHeight w:val="335"/>
        </w:trPr>
        <w:tc>
          <w:tcPr>
            <w:tcW w:w="709" w:type="dxa"/>
          </w:tcPr>
          <w:p w14:paraId="484AA0B0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43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72036B02" w14:textId="77777777" w:rsidR="0099779B" w:rsidRPr="007B554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aktów terroryzmu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082D1B39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12C396A1" w14:textId="051C6E82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61167FBE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54230013" w14:textId="27A98D20" w:rsidTr="005B42BA">
        <w:trPr>
          <w:trHeight w:val="272"/>
        </w:trPr>
        <w:tc>
          <w:tcPr>
            <w:tcW w:w="709" w:type="dxa"/>
          </w:tcPr>
          <w:p w14:paraId="77F6831F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44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47112A08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strajków rozruchów, zamieszek społecznych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788652CA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57C986D3" w14:textId="2EC81A70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2E97CAE9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5DEB3CC6" w14:textId="7838C700" w:rsidTr="005B42BA">
        <w:trPr>
          <w:trHeight w:val="382"/>
        </w:trPr>
        <w:tc>
          <w:tcPr>
            <w:tcW w:w="709" w:type="dxa"/>
          </w:tcPr>
          <w:p w14:paraId="5DC6B9EF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45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2BD7E848" w14:textId="77777777" w:rsidR="0099779B" w:rsidRPr="007B554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Klauzula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zaliczki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poczet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odszkodowania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14F6DF8F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558DA336" w14:textId="4DAB10C8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35373B8B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4F4651AF" w14:textId="2A1DAD05" w:rsidTr="005B42BA">
        <w:trPr>
          <w:trHeight w:val="274"/>
        </w:trPr>
        <w:tc>
          <w:tcPr>
            <w:tcW w:w="709" w:type="dxa"/>
          </w:tcPr>
          <w:p w14:paraId="2487713E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46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7B100DEB" w14:textId="77777777" w:rsidR="0099779B" w:rsidRPr="007B554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Klauzula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funduszu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prewencyjnego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1F2EBA1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12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5039F2E6" w14:textId="36AF972F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4F836C70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371E38A4" w14:textId="640BB833" w:rsidTr="005B42BA">
        <w:trPr>
          <w:trHeight w:val="336"/>
        </w:trPr>
        <w:tc>
          <w:tcPr>
            <w:tcW w:w="709" w:type="dxa"/>
          </w:tcPr>
          <w:p w14:paraId="57B88A61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47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5DA182FA" w14:textId="77777777" w:rsidR="0099779B" w:rsidRPr="007B554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Klauzula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zniżki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tytułu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niskiej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szkodowości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182AA590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10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32B91B3B" w14:textId="0947A75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30A66DF8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29D842E0" w14:textId="63470B4E" w:rsidTr="005B42BA">
        <w:trPr>
          <w:trHeight w:val="342"/>
        </w:trPr>
        <w:tc>
          <w:tcPr>
            <w:tcW w:w="709" w:type="dxa"/>
          </w:tcPr>
          <w:p w14:paraId="1D6FAF51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48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60A571B1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Klauzula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kompensacji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</w:rPr>
              <w:t xml:space="preserve"> sum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</w:rPr>
              <w:t>ubezpieczenia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46078724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</w:t>
            </w:r>
            <w:r w:rsidRPr="00CB39C7">
              <w:rPr>
                <w:rFonts w:ascii="Arial" w:eastAsia="Tahoma" w:hAnsi="Arial" w:cs="Arial"/>
                <w:i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22FD07EF" w14:textId="1CEB701A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3789A4AD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1B771FDF" w14:textId="45860BE5" w:rsidTr="005B42BA">
        <w:trPr>
          <w:trHeight w:val="342"/>
        </w:trPr>
        <w:tc>
          <w:tcPr>
            <w:tcW w:w="709" w:type="dxa"/>
          </w:tcPr>
          <w:p w14:paraId="688A5A33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49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1EB333AA" w14:textId="77777777" w:rsidR="0099779B" w:rsidRPr="00CB39C7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 uznania kosztów dodatkowych wynikających z braku części zamiennych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5BD1D221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148A4545" w14:textId="0F3851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428327DC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7306285E" w14:textId="408637E0" w:rsidTr="005B42BA">
        <w:trPr>
          <w:trHeight w:val="342"/>
        </w:trPr>
        <w:tc>
          <w:tcPr>
            <w:tcW w:w="709" w:type="dxa"/>
          </w:tcPr>
          <w:p w14:paraId="440E665C" w14:textId="77777777" w:rsidR="0099779B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50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7779A1AC" w14:textId="77777777" w:rsidR="0099779B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103C43EA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1CFFE56E" w14:textId="7E9A08A9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781A719A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1B7D2A2F" w14:textId="1736913D" w:rsidTr="005B42BA">
        <w:trPr>
          <w:trHeight w:val="342"/>
        </w:trPr>
        <w:tc>
          <w:tcPr>
            <w:tcW w:w="709" w:type="dxa"/>
          </w:tcPr>
          <w:p w14:paraId="4E479F79" w14:textId="77777777" w:rsidR="0099779B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51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2CBDD294" w14:textId="77777777" w:rsidR="0099779B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094447A5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10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043559BC" w14:textId="764B31B4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236E969F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99779B" w:rsidRPr="00CB39C7" w14:paraId="52C292F1" w14:textId="6CD95B72" w:rsidTr="005B42BA">
        <w:trPr>
          <w:trHeight w:val="342"/>
        </w:trPr>
        <w:tc>
          <w:tcPr>
            <w:tcW w:w="709" w:type="dxa"/>
          </w:tcPr>
          <w:p w14:paraId="2BC80B1E" w14:textId="77777777" w:rsidR="0099779B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52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345F40A9" w14:textId="77777777" w:rsidR="0099779B" w:rsidRDefault="0099779B" w:rsidP="0099779B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ubezpieczenia mienia poza ewidencją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4540672A" w14:textId="77777777" w:rsidR="0099779B" w:rsidRPr="00CB39C7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22E62422" w14:textId="3DBEBF66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69961554" w14:textId="77777777" w:rsidR="0099779B" w:rsidRDefault="0099779B" w:rsidP="0099779B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5CA5FA21" w14:textId="1667E337" w:rsidTr="00AE2158">
        <w:trPr>
          <w:trHeight w:val="342"/>
        </w:trPr>
        <w:tc>
          <w:tcPr>
            <w:tcW w:w="709" w:type="dxa"/>
          </w:tcPr>
          <w:p w14:paraId="0D8C1BD8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5314DD59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konserwatorska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627C7BCB" w14:textId="77777777" w:rsidR="0031516D" w:rsidRPr="00CB39C7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42B578EF" w14:textId="5282E03E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2A84769F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61779876" w14:textId="2024E436" w:rsidTr="00AE2158">
        <w:trPr>
          <w:trHeight w:val="342"/>
        </w:trPr>
        <w:tc>
          <w:tcPr>
            <w:tcW w:w="709" w:type="dxa"/>
          </w:tcPr>
          <w:p w14:paraId="6679A698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54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63F8F08E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oględzin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60316188" w14:textId="77777777" w:rsidR="0031516D" w:rsidRPr="00CB39C7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731187EC" w14:textId="01E18DBC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4253A9F5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75C893CC" w14:textId="151B8479" w:rsidTr="00AE2158">
        <w:trPr>
          <w:trHeight w:val="342"/>
        </w:trPr>
        <w:tc>
          <w:tcPr>
            <w:tcW w:w="709" w:type="dxa"/>
          </w:tcPr>
          <w:p w14:paraId="4420E2F3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55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3CAF5653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usunięcia przyczyn awarii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2D8F8406" w14:textId="77777777" w:rsidR="0031516D" w:rsidRPr="00CB39C7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12C7988F" w14:textId="4507054B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5BB5D5CB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6293891C" w14:textId="00C5943B" w:rsidTr="00AE2158">
        <w:trPr>
          <w:trHeight w:val="342"/>
        </w:trPr>
        <w:tc>
          <w:tcPr>
            <w:tcW w:w="709" w:type="dxa"/>
          </w:tcPr>
          <w:p w14:paraId="2ADAED1A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56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2BC6B8D1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poszukiwania przyczyny szkody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01ACF083" w14:textId="77777777" w:rsidR="0031516D" w:rsidRPr="00CB39C7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63C47BD5" w14:textId="3962D73B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36D43B34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5C4C32EF" w14:textId="5A553509" w:rsidTr="00AE2158">
        <w:trPr>
          <w:trHeight w:val="342"/>
        </w:trPr>
        <w:tc>
          <w:tcPr>
            <w:tcW w:w="709" w:type="dxa"/>
          </w:tcPr>
          <w:p w14:paraId="50FFE7DE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57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046F0153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stempla bankowego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192802E" w14:textId="77777777" w:rsidR="0031516D" w:rsidRPr="00CB39C7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5F3F2EF6" w14:textId="1FE7B9C5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11E08126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7481745B" w14:textId="4B37E381" w:rsidTr="00AE2158">
        <w:trPr>
          <w:trHeight w:val="342"/>
        </w:trPr>
        <w:tc>
          <w:tcPr>
            <w:tcW w:w="709" w:type="dxa"/>
          </w:tcPr>
          <w:p w14:paraId="724AECF0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58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3F70A587" w14:textId="77777777" w:rsidR="0031516D" w:rsidRPr="007B5547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zbycia przedmiotów ubezpieczenia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5F8B0D13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2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7074BA51" w14:textId="17CE6B0C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3A1F9FA2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5F9DE023" w14:textId="2A76B7B1" w:rsidTr="00AE2158">
        <w:trPr>
          <w:trHeight w:val="342"/>
        </w:trPr>
        <w:tc>
          <w:tcPr>
            <w:tcW w:w="709" w:type="dxa"/>
          </w:tcPr>
          <w:p w14:paraId="2559BAD3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59</w:t>
            </w:r>
          </w:p>
        </w:tc>
        <w:tc>
          <w:tcPr>
            <w:tcW w:w="6238" w:type="dxa"/>
            <w:tcBorders>
              <w:right w:val="single" w:sz="2" w:space="0" w:color="000000"/>
            </w:tcBorders>
          </w:tcPr>
          <w:p w14:paraId="7E60FC8D" w14:textId="77777777" w:rsidR="0031516D" w:rsidRPr="007B5547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ubezpieczenia od daty dostawy do daty eksploatacji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69C5AD7F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 pkt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0E1ECDCE" w14:textId="64ED72D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14:paraId="2771DDC4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4A35D1D2" w14:textId="50B59A66" w:rsidTr="00AE2158">
        <w:trPr>
          <w:trHeight w:val="342"/>
        </w:trPr>
        <w:tc>
          <w:tcPr>
            <w:tcW w:w="709" w:type="dxa"/>
            <w:tcBorders>
              <w:bottom w:val="single" w:sz="4" w:space="0" w:color="auto"/>
            </w:tcBorders>
          </w:tcPr>
          <w:p w14:paraId="46AC9A59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60</w:t>
            </w:r>
          </w:p>
        </w:tc>
        <w:tc>
          <w:tcPr>
            <w:tcW w:w="6238" w:type="dxa"/>
            <w:tcBorders>
              <w:bottom w:val="single" w:sz="4" w:space="0" w:color="auto"/>
              <w:right w:val="single" w:sz="2" w:space="0" w:color="000000"/>
            </w:tcBorders>
          </w:tcPr>
          <w:p w14:paraId="66AA16EE" w14:textId="77777777" w:rsidR="0031516D" w:rsidRPr="007B5547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tymczasowego magazynowania lub chwilowej przerwy w eksploatacji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263E970F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5 pkt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45231BB" w14:textId="045B86E3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61F12500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20E78760" w14:textId="520BE7AB" w:rsidTr="00AE2158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80C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61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744" w14:textId="77777777" w:rsidR="0031516D" w:rsidRPr="007B5547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7B5547"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Klauzula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Cyber</w:t>
            </w:r>
            <w:proofErr w:type="spellEnd"/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  <w:iCs/>
                <w:sz w:val="20"/>
                <w:szCs w:val="20"/>
                <w:lang w:val="pl-PL"/>
              </w:rPr>
              <w:t>Risk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3C6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E48" w14:textId="465271B4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0FE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  <w:tr w:rsidR="0031516D" w:rsidRPr="00CB39C7" w14:paraId="51EA587A" w14:textId="77777777" w:rsidTr="0099779B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314EB" w14:textId="77777777" w:rsidR="0031516D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64FAA" w14:textId="77777777" w:rsidR="0031516D" w:rsidRPr="007B5547" w:rsidRDefault="0031516D" w:rsidP="0031516D">
            <w:pPr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8B13DD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65D" w14:textId="382929C3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  <w:r>
              <w:rPr>
                <w:rFonts w:ascii="Arial" w:eastAsia="Tahoma" w:hAnsi="Arial" w:cs="Arial"/>
                <w:iCs/>
                <w:sz w:val="20"/>
                <w:szCs w:val="20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6A6" w14:textId="77777777" w:rsidR="0031516D" w:rsidRDefault="0031516D" w:rsidP="0031516D">
            <w:pPr>
              <w:jc w:val="right"/>
              <w:rPr>
                <w:rFonts w:ascii="Arial" w:eastAsia="Tahoma" w:hAnsi="Arial" w:cs="Arial"/>
                <w:iCs/>
                <w:sz w:val="20"/>
                <w:szCs w:val="20"/>
              </w:rPr>
            </w:pPr>
          </w:p>
        </w:tc>
      </w:tr>
    </w:tbl>
    <w:p w14:paraId="6D413C8C" w14:textId="77777777" w:rsidR="00F8746A" w:rsidRDefault="00F8746A" w:rsidP="00F8746A">
      <w:pPr>
        <w:pStyle w:val="Akapitzlist"/>
        <w:ind w:left="567"/>
        <w:rPr>
          <w:rFonts w:ascii="Arial" w:hAnsi="Arial" w:cs="Arial"/>
          <w:b/>
          <w:bCs/>
          <w:color w:val="1F4E79" w:themeColor="accent5" w:themeShade="80"/>
          <w:u w:val="single"/>
        </w:rPr>
      </w:pPr>
    </w:p>
    <w:p w14:paraId="4E1FFD68" w14:textId="77777777" w:rsidR="0099779B" w:rsidRDefault="0099779B" w:rsidP="00F8746A">
      <w:pPr>
        <w:pStyle w:val="Nagwek4"/>
        <w:widowControl w:val="0"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14:paraId="7ABCBC6B" w14:textId="2523166C" w:rsidR="00F8746A" w:rsidRDefault="00F8746A" w:rsidP="00F8746A">
      <w:pPr>
        <w:pStyle w:val="Nagwek4"/>
        <w:widowControl w:val="0"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ilość punktów za ryzyka dodatkowe podlegające ocenie w CZEŚCI  I – 100 pkt  </w:t>
      </w:r>
    </w:p>
    <w:p w14:paraId="51490DD6" w14:textId="77777777" w:rsidR="004E20DB" w:rsidRDefault="004E20DB" w:rsidP="004E20DB">
      <w:pPr>
        <w:rPr>
          <w:lang w:val="x-none" w:eastAsia="x-none"/>
        </w:rPr>
      </w:pPr>
    </w:p>
    <w:p w14:paraId="1A2DCF96" w14:textId="77777777" w:rsidR="004E20DB" w:rsidRPr="004E20DB" w:rsidRDefault="004E20DB" w:rsidP="004E20DB">
      <w:pPr>
        <w:rPr>
          <w:lang w:val="x-none" w:eastAsia="x-none"/>
        </w:rPr>
      </w:pPr>
    </w:p>
    <w:p w14:paraId="5DA72362" w14:textId="77777777" w:rsidR="00F8746A" w:rsidRPr="00F8746A" w:rsidRDefault="00F8746A" w:rsidP="00F8746A">
      <w:pPr>
        <w:rPr>
          <w:lang w:val="x-none" w:eastAsia="x-none"/>
        </w:rPr>
      </w:pPr>
    </w:p>
    <w:p w14:paraId="283B6D8E" w14:textId="5DA9D126" w:rsidR="00A57CF1" w:rsidRPr="00745CAF" w:rsidRDefault="00A57CF1" w:rsidP="00745CAF">
      <w:pPr>
        <w:pStyle w:val="Nagwek4"/>
        <w:widowControl w:val="0"/>
        <w:tabs>
          <w:tab w:val="left" w:pos="0"/>
        </w:tabs>
        <w:suppressAutoHyphens/>
        <w:spacing w:line="360" w:lineRule="auto"/>
        <w:ind w:left="720"/>
        <w:jc w:val="center"/>
        <w:rPr>
          <w:rFonts w:ascii="Arial" w:hAnsi="Arial" w:cs="Arial"/>
          <w:bCs w:val="0"/>
          <w:lang w:val="pl-PL" w:eastAsia="pl-PL"/>
        </w:rPr>
      </w:pPr>
      <w:r w:rsidRPr="00745CAF">
        <w:rPr>
          <w:rFonts w:ascii="Arial" w:hAnsi="Arial" w:cs="Arial"/>
          <w:bCs w:val="0"/>
        </w:rPr>
        <w:lastRenderedPageBreak/>
        <w:t xml:space="preserve">dla CZĘŚCI ZAMÓWIENIA NR </w:t>
      </w:r>
      <w:r w:rsidRPr="00745CAF">
        <w:rPr>
          <w:rFonts w:ascii="Arial" w:hAnsi="Arial" w:cs="Arial"/>
          <w:bCs w:val="0"/>
          <w:lang w:val="pl-PL"/>
        </w:rPr>
        <w:t>2</w:t>
      </w:r>
    </w:p>
    <w:p w14:paraId="0AE6B88E" w14:textId="466281D9" w:rsidR="00A57CF1" w:rsidRDefault="00A57CF1" w:rsidP="00DD7173">
      <w:pPr>
        <w:pStyle w:val="Nagwek4"/>
        <w:widowControl w:val="0"/>
        <w:numPr>
          <w:ilvl w:val="0"/>
          <w:numId w:val="4"/>
        </w:numPr>
        <w:suppressAutoHyphens/>
        <w:spacing w:line="360" w:lineRule="auto"/>
        <w:jc w:val="left"/>
        <w:rPr>
          <w:rFonts w:ascii="Arial" w:hAnsi="Arial" w:cs="Arial"/>
          <w:bCs w:val="0"/>
          <w:color w:val="1F4E79" w:themeColor="accent5" w:themeShade="80"/>
          <w:u w:val="single"/>
        </w:rPr>
      </w:pPr>
      <w:r w:rsidRPr="0045150A">
        <w:rPr>
          <w:rFonts w:ascii="Arial" w:hAnsi="Arial" w:cs="Arial"/>
          <w:bCs w:val="0"/>
          <w:color w:val="1F4E79" w:themeColor="accent5" w:themeShade="80"/>
          <w:u w:val="single"/>
        </w:rPr>
        <w:t>Ubezpieczenia komunikacyjne</w:t>
      </w:r>
    </w:p>
    <w:p w14:paraId="6EBF9275" w14:textId="29E7F27F" w:rsidR="00DD7173" w:rsidRDefault="00DD7173" w:rsidP="00DD7173"/>
    <w:p w14:paraId="43C0D02F" w14:textId="77777777" w:rsidR="00DD7173" w:rsidRPr="00AF7B5C" w:rsidRDefault="00DD7173" w:rsidP="00DD7173">
      <w:pPr>
        <w:pStyle w:val="Nagwek4"/>
        <w:widowControl w:val="0"/>
        <w:numPr>
          <w:ilvl w:val="0"/>
          <w:numId w:val="5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 w:val="0"/>
          <w:bCs w:val="0"/>
          <w:i/>
          <w:iCs/>
          <w:color w:val="1F4E79" w:themeColor="accent5" w:themeShade="80"/>
          <w:sz w:val="22"/>
          <w:szCs w:val="22"/>
          <w:u w:val="single"/>
        </w:rPr>
      </w:pPr>
      <w:r w:rsidRPr="00AF7B5C">
        <w:rPr>
          <w:rFonts w:ascii="Arial" w:hAnsi="Arial" w:cs="Arial"/>
          <w:color w:val="1F4E79" w:themeColor="accent5" w:themeShade="80"/>
          <w:sz w:val="22"/>
          <w:szCs w:val="22"/>
          <w:u w:val="single"/>
        </w:rPr>
        <w:t>Ubezpieczenie OC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38"/>
        <w:gridCol w:w="992"/>
        <w:gridCol w:w="1276"/>
        <w:gridCol w:w="1559"/>
      </w:tblGrid>
      <w:tr w:rsidR="00F10E8B" w:rsidRPr="004F1BE6" w14:paraId="19934E84" w14:textId="0BB9132B" w:rsidTr="00F10E8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8BC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016" w14:textId="77777777" w:rsidR="00F10E8B" w:rsidRPr="009454EE" w:rsidRDefault="00F10E8B" w:rsidP="00F10E8B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454EE">
              <w:rPr>
                <w:rFonts w:ascii="Arial" w:hAnsi="Arial" w:cs="Arial"/>
                <w:b/>
                <w:bCs/>
                <w:sz w:val="20"/>
              </w:rPr>
              <w:t>Dodatkowe świadczenia w ramach zawartej umowy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307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1BE6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A9B" w14:textId="43F18EB1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TAK /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EC2" w14:textId="24FBFD43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Liczba punktów</w:t>
            </w:r>
          </w:p>
        </w:tc>
      </w:tr>
      <w:tr w:rsidR="00F10E8B" w:rsidRPr="004F1BE6" w14:paraId="73896A1C" w14:textId="2FD13BFF" w:rsidTr="004D0F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F8F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1BE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4DE" w14:textId="77777777" w:rsidR="00F10E8B" w:rsidRPr="004F1BE6" w:rsidRDefault="00F10E8B" w:rsidP="00F1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sz w:val="20"/>
                <w:szCs w:val="20"/>
              </w:rPr>
              <w:t>pokrycie kosztów holowania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 pojazdu po kolizji z innym pojazdem do 150 km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345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1BE6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C52" w14:textId="4EA0CB18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E6E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10E8B" w:rsidRPr="004F1BE6" w14:paraId="2661C3F0" w14:textId="79FBA624" w:rsidTr="004D0F1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1AC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1BE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D47" w14:textId="77777777" w:rsidR="00F10E8B" w:rsidRPr="004F1BE6" w:rsidRDefault="00F10E8B" w:rsidP="00F10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sz w:val="20"/>
                <w:szCs w:val="20"/>
              </w:rPr>
              <w:t xml:space="preserve">pokrycie kosztów naprawy pojazdu 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na miejscu po kolizji z innym pojazdem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822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1BE6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73E" w14:textId="099C33F6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022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10E8B" w:rsidRPr="004F1BE6" w14:paraId="1B074B1D" w14:textId="10FF3D62" w:rsidTr="00F10E8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1E3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0D3" w14:textId="77777777" w:rsidR="00F10E8B" w:rsidRPr="004F1BE6" w:rsidRDefault="00F10E8B" w:rsidP="00F10E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Brak zastosowania franszyzy km w przypadku holowania pojazdu po wypadku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A56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7F8" w14:textId="4882087C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F30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10E8B" w:rsidRPr="004F1BE6" w14:paraId="27F0D248" w14:textId="57897BB2" w:rsidTr="00F10E8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129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929" w14:textId="77777777" w:rsidR="00F10E8B" w:rsidRPr="004F1BE6" w:rsidRDefault="00F10E8B" w:rsidP="00F10E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sz w:val="20"/>
                <w:szCs w:val="20"/>
              </w:rPr>
              <w:t xml:space="preserve">pokrycie kosztów 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parkowania pojazdu po kolizji z innym pojazdem poza godzinami pracy warsztatu (np. w porze nocnej lub w dni wolne od pracy) do 3 dni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445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129" w14:textId="3F8C45A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E1F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10E8B" w:rsidRPr="004F1BE6" w14:paraId="1BCA583E" w14:textId="77777777" w:rsidTr="00F10E8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0218B" w14:textId="77777777" w:rsidR="00F10E8B" w:rsidRDefault="00F10E8B" w:rsidP="00F10E8B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3AD6F" w14:textId="77777777" w:rsidR="00F10E8B" w:rsidRPr="004F1BE6" w:rsidRDefault="00F10E8B" w:rsidP="00F10E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91504B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657" w14:textId="5FD535F5" w:rsidR="00F10E8B" w:rsidRPr="003F62EA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9F6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1F92D70" w14:textId="77777777" w:rsidR="00DD7173" w:rsidRPr="00DD7173" w:rsidRDefault="00DD7173" w:rsidP="00DD7173">
      <w:pPr>
        <w:pStyle w:val="Nagwek4"/>
        <w:widowControl w:val="0"/>
        <w:suppressAutoHyphens/>
        <w:spacing w:line="360" w:lineRule="auto"/>
        <w:rPr>
          <w:rFonts w:ascii="Arial" w:hAnsi="Arial" w:cs="Arial"/>
          <w:b w:val="0"/>
          <w:bCs w:val="0"/>
          <w:i/>
          <w:iCs/>
          <w:color w:val="1F4E79" w:themeColor="accent5" w:themeShade="80"/>
          <w:u w:val="single"/>
        </w:rPr>
      </w:pPr>
    </w:p>
    <w:p w14:paraId="5CBFD9BA" w14:textId="71F0E7CA" w:rsidR="00DD7173" w:rsidRPr="00AF7B5C" w:rsidRDefault="00DD7173" w:rsidP="00DD7173">
      <w:pPr>
        <w:pStyle w:val="Nagwek4"/>
        <w:widowControl w:val="0"/>
        <w:numPr>
          <w:ilvl w:val="0"/>
          <w:numId w:val="5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 w:val="0"/>
          <w:bCs w:val="0"/>
          <w:i/>
          <w:iCs/>
          <w:color w:val="1F4E79" w:themeColor="accent5" w:themeShade="80"/>
          <w:u w:val="single"/>
        </w:rPr>
      </w:pPr>
      <w:r w:rsidRPr="00AF7B5C">
        <w:rPr>
          <w:rFonts w:ascii="Arial" w:hAnsi="Arial" w:cs="Arial"/>
          <w:color w:val="1F4E79" w:themeColor="accent5" w:themeShade="80"/>
          <w:u w:val="single"/>
        </w:rPr>
        <w:t>Ubezpieczenie AC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38"/>
        <w:gridCol w:w="1062"/>
        <w:gridCol w:w="1206"/>
        <w:gridCol w:w="1559"/>
      </w:tblGrid>
      <w:tr w:rsidR="00F10E8B" w:rsidRPr="004F1BE6" w14:paraId="01106EA0" w14:textId="591F72F0" w:rsidTr="00F10E8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44B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9A0" w14:textId="77777777" w:rsidR="00F10E8B" w:rsidRPr="004F1BE6" w:rsidRDefault="00F10E8B" w:rsidP="00F10E8B">
            <w:pPr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bCs/>
                <w:sz w:val="20"/>
                <w:szCs w:val="20"/>
              </w:rPr>
              <w:t>Franszyza integralna</w:t>
            </w:r>
            <w:r w:rsidRPr="004F1BE6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ACB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782" w14:textId="13312AA6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TAK /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EA9" w14:textId="603DEA3C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Liczba punktów</w:t>
            </w:r>
          </w:p>
        </w:tc>
      </w:tr>
      <w:tr w:rsidR="00F10E8B" w:rsidRPr="004F1BE6" w14:paraId="583D1590" w14:textId="27D7EFF0" w:rsidTr="009D79C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3C8" w14:textId="77777777" w:rsidR="00F10E8B" w:rsidRDefault="00F10E8B" w:rsidP="00F10E8B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0AE" w14:textId="77777777" w:rsidR="00F10E8B" w:rsidRPr="004F1BE6" w:rsidRDefault="00F10E8B" w:rsidP="00F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Brak zastosowania franszyzy km w przypadku holowania pojazdu po wypadku lub awarii.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6B6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E91" w14:textId="79332C49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B0A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10E8B" w:rsidRPr="004F1BE6" w14:paraId="0C091D65" w14:textId="5AE14F67" w:rsidTr="009D79C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029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9F7C" w14:textId="77777777" w:rsidR="00F10E8B" w:rsidRPr="004F1BE6" w:rsidRDefault="00F10E8B" w:rsidP="00F10E8B">
            <w:pPr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color w:val="000000" w:themeColor="text1"/>
                <w:sz w:val="20"/>
              </w:rPr>
              <w:t>pokrycie kosztów holowania do warsztatu lub siedziby ubezpieczonego wskutek wypadku lub awarii</w:t>
            </w:r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4F1BE6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2 000,00 PLN na jedno i wszystkie zdarzenia w rocznym okresie ubezpieczenia – dla zdarzeń na terytorium RP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2AE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0F4" w14:textId="3B36E408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523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10E8B" w:rsidRPr="004F1BE6" w14:paraId="6A49CA26" w14:textId="700EBC34" w:rsidTr="009D79C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74C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3DF" w14:textId="77777777" w:rsidR="00F10E8B" w:rsidRPr="004F1BE6" w:rsidRDefault="00F10E8B" w:rsidP="00F10E8B">
            <w:pPr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color w:val="000000" w:themeColor="text1"/>
                <w:sz w:val="20"/>
              </w:rPr>
              <w:t>pokrycie kosztów naprawy na miejscu zdarzenia wskutek wypadku lub awarii</w:t>
            </w:r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4F1BE6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1 000,00 PLN na jedno i wszystkie zdarzenia w rocznym okresie ubezpieczenia – dla zdarzeń na terytorium RP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61D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E8D" w14:textId="43D6D5F5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D17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10E8B" w:rsidRPr="004F1BE6" w14:paraId="30955402" w14:textId="00D2F792" w:rsidTr="009D79C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80F" w14:textId="77777777" w:rsidR="00F10E8B" w:rsidRPr="004F1BE6" w:rsidRDefault="00F10E8B" w:rsidP="00F10E8B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2A3" w14:textId="77777777" w:rsidR="00F10E8B" w:rsidRPr="004F1BE6" w:rsidRDefault="00F10E8B" w:rsidP="00F10E8B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1BE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wynajem pojazdu zastępczego</w:t>
            </w:r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(co najmniej tej samej klasy) - po odholowaniu pojazdu do warsztatu, bez względu na czas oczekiwania na naprawę pojazdu, lub po kradzieży ubezpieczonego pojazdu, wynajem pojazdu na 15 dni niezależnie od daty zdarzenia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33A" w14:textId="77777777" w:rsidR="00F10E8B" w:rsidRPr="004F1BE6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 w:rsidRPr="004F1BE6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82C1" w14:textId="23DAE3AF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62F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F10E8B" w:rsidRPr="004F1BE6" w14:paraId="2857962B" w14:textId="77777777" w:rsidTr="009D79C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CA586" w14:textId="77777777" w:rsidR="00F10E8B" w:rsidRDefault="00F10E8B" w:rsidP="00F10E8B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6A740" w14:textId="77777777" w:rsidR="00F10E8B" w:rsidRPr="004F1BE6" w:rsidRDefault="00F10E8B" w:rsidP="00F10E8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BB041E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9968" w14:textId="1F5D7596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8EC" w14:textId="77777777" w:rsidR="00F10E8B" w:rsidRDefault="00F10E8B" w:rsidP="00F10E8B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6BC4A5B1" w14:textId="77777777" w:rsidR="00DD7173" w:rsidRDefault="00DD7173" w:rsidP="00DD7173">
      <w:pPr>
        <w:pStyle w:val="Nagwek4"/>
        <w:widowControl w:val="0"/>
        <w:suppressAutoHyphens/>
        <w:spacing w:line="360" w:lineRule="auto"/>
        <w:ind w:left="720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721576C0" w14:textId="77777777" w:rsidR="00DD7173" w:rsidRPr="00DD7173" w:rsidRDefault="00DD7173" w:rsidP="00DD7173">
      <w:pPr>
        <w:pStyle w:val="Nagwek4"/>
        <w:widowControl w:val="0"/>
        <w:numPr>
          <w:ilvl w:val="0"/>
          <w:numId w:val="5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 w:val="0"/>
          <w:bCs w:val="0"/>
          <w:i/>
          <w:iCs/>
          <w:color w:val="1F4E79" w:themeColor="accent5" w:themeShade="80"/>
          <w:u w:val="single"/>
        </w:rPr>
      </w:pPr>
      <w:r w:rsidRPr="00DD7173">
        <w:rPr>
          <w:rFonts w:ascii="Arial" w:hAnsi="Arial" w:cs="Arial"/>
          <w:color w:val="1F4E79" w:themeColor="accent5" w:themeShade="80"/>
          <w:u w:val="single"/>
        </w:rPr>
        <w:t>Ubezpieczenie NNW kierowcy i pasażerów  – NIE DOTYCZY</w:t>
      </w:r>
    </w:p>
    <w:p w14:paraId="3C79A2E7" w14:textId="77777777" w:rsidR="00DD7173" w:rsidRDefault="00DD7173" w:rsidP="00DD7173">
      <w:pPr>
        <w:pStyle w:val="Nagwek4"/>
        <w:widowControl w:val="0"/>
        <w:suppressAutoHyphens/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216B5B33" w14:textId="77777777" w:rsidR="00DD7173" w:rsidRPr="00C21D00" w:rsidRDefault="00DD7173" w:rsidP="00DD7173">
      <w:pPr>
        <w:pStyle w:val="Nagwek4"/>
        <w:widowControl w:val="0"/>
        <w:suppressAutoHyphens/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ilość punktów za ryzyka dodatkowe podlegające ocenie w CZEŚCI  II – 100 pkt  </w:t>
      </w:r>
    </w:p>
    <w:p w14:paraId="7FE6294E" w14:textId="77777777"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  <w:r w:rsidRPr="003F62EA">
        <w:rPr>
          <w:rFonts w:ascii="Arial" w:hAnsi="Arial" w:cs="Arial"/>
          <w:i/>
          <w:sz w:val="16"/>
          <w:szCs w:val="16"/>
        </w:rPr>
        <w:t xml:space="preserve">(*) – niepotrzebne skreślić - TAK – </w:t>
      </w:r>
      <w:r w:rsidRPr="003F62EA">
        <w:rPr>
          <w:rFonts w:ascii="Arial" w:hAnsi="Arial" w:cs="Arial"/>
          <w:bCs/>
          <w:i/>
          <w:sz w:val="16"/>
          <w:szCs w:val="16"/>
        </w:rPr>
        <w:t xml:space="preserve">przyjęcie ryzyka, </w:t>
      </w:r>
      <w:r w:rsidRPr="003F62EA">
        <w:rPr>
          <w:rFonts w:ascii="Arial" w:hAnsi="Arial" w:cs="Arial"/>
          <w:i/>
          <w:sz w:val="16"/>
          <w:szCs w:val="16"/>
        </w:rPr>
        <w:t xml:space="preserve">NIE – </w:t>
      </w:r>
      <w:r w:rsidRPr="003F62EA">
        <w:rPr>
          <w:rFonts w:ascii="Arial" w:hAnsi="Arial" w:cs="Arial"/>
          <w:bCs/>
          <w:i/>
          <w:sz w:val="16"/>
          <w:szCs w:val="16"/>
        </w:rPr>
        <w:t>brak przyjęcia ryzyka.</w:t>
      </w:r>
    </w:p>
    <w:p w14:paraId="3BCB8DE5" w14:textId="77777777"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</w:p>
    <w:p w14:paraId="0B0F6E13" w14:textId="77777777"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A57CF1" w:rsidRPr="003F62EA" w14:paraId="1654ECAD" w14:textId="77777777" w:rsidTr="00D64986">
        <w:tc>
          <w:tcPr>
            <w:tcW w:w="4390" w:type="dxa"/>
            <w:tcBorders>
              <w:bottom w:val="single" w:sz="4" w:space="0" w:color="auto"/>
            </w:tcBorders>
          </w:tcPr>
          <w:p w14:paraId="69FE873F" w14:textId="77777777"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64976C81" w14:textId="77777777"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202A6AEE" w14:textId="77777777"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57CF1" w:rsidRPr="003F62EA" w14:paraId="176BF44A" w14:textId="77777777" w:rsidTr="00D64986">
        <w:tc>
          <w:tcPr>
            <w:tcW w:w="4390" w:type="dxa"/>
            <w:tcBorders>
              <w:top w:val="single" w:sz="4" w:space="0" w:color="auto"/>
            </w:tcBorders>
          </w:tcPr>
          <w:p w14:paraId="530875E0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069EE1BA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18465DC3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5E87B65D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06A7106" w14:textId="77777777" w:rsidR="00F35BEF" w:rsidRDefault="00000000" w:rsidP="00D86F8B"/>
    <w:sectPr w:rsidR="00F35BEF" w:rsidSect="000356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39E6" w14:textId="77777777" w:rsidR="00D94A81" w:rsidRDefault="00D94A81" w:rsidP="001A16C1">
      <w:r>
        <w:separator/>
      </w:r>
    </w:p>
  </w:endnote>
  <w:endnote w:type="continuationSeparator" w:id="0">
    <w:p w14:paraId="2DEB2DCD" w14:textId="77777777" w:rsidR="00D94A81" w:rsidRDefault="00D94A81" w:rsidP="001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1C77" w14:textId="77777777" w:rsidR="00F14212" w:rsidRPr="00F14212" w:rsidRDefault="00F14212" w:rsidP="00F1421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1F4E79" w:themeColor="accent5" w:themeShade="80"/>
        <w:sz w:val="20"/>
        <w:szCs w:val="20"/>
      </w:rPr>
    </w:pPr>
    <w:r w:rsidRPr="00F14212">
      <w:rPr>
        <w:rFonts w:ascii="Arial" w:hAnsi="Arial" w:cs="Arial"/>
        <w:color w:val="1F4E79" w:themeColor="accent5" w:themeShade="80"/>
        <w:spacing w:val="60"/>
        <w:sz w:val="20"/>
        <w:szCs w:val="20"/>
      </w:rPr>
      <w:t>Strona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t xml:space="preserve"> 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begin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instrText>PAGE   \* MERGEFORMAT</w:instrTex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separate"/>
    </w:r>
    <w:r>
      <w:rPr>
        <w:rFonts w:ascii="Arial" w:hAnsi="Arial" w:cs="Arial"/>
        <w:color w:val="1F4E79" w:themeColor="accent5" w:themeShade="80"/>
        <w:sz w:val="20"/>
        <w:szCs w:val="20"/>
      </w:rPr>
      <w:t>1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end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t xml:space="preserve"> | 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begin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instrText>NUMPAGES  \* Arabic  \* MERGEFORMAT</w:instrTex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separate"/>
    </w:r>
    <w:r>
      <w:rPr>
        <w:rFonts w:ascii="Arial" w:hAnsi="Arial" w:cs="Arial"/>
        <w:color w:val="1F4E79" w:themeColor="accent5" w:themeShade="80"/>
        <w:sz w:val="20"/>
        <w:szCs w:val="20"/>
      </w:rPr>
      <w:t>4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end"/>
    </w:r>
  </w:p>
  <w:p w14:paraId="28336AFD" w14:textId="77777777" w:rsidR="00F14212" w:rsidRDefault="00F14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3B17" w14:textId="77777777" w:rsidR="00F14212" w:rsidRPr="00F14212" w:rsidRDefault="00F1421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1F4E79" w:themeColor="accent5" w:themeShade="80"/>
        <w:sz w:val="20"/>
        <w:szCs w:val="20"/>
      </w:rPr>
    </w:pPr>
    <w:r w:rsidRPr="00F14212">
      <w:rPr>
        <w:rFonts w:ascii="Arial" w:hAnsi="Arial" w:cs="Arial"/>
        <w:color w:val="1F4E79" w:themeColor="accent5" w:themeShade="80"/>
        <w:spacing w:val="60"/>
        <w:sz w:val="20"/>
        <w:szCs w:val="20"/>
      </w:rPr>
      <w:t>Strona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t xml:space="preserve"> 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begin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instrText>PAGE   \* MERGEFORMAT</w:instrTex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separate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t>1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end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t xml:space="preserve"> | 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begin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instrText>NUMPAGES  \* Arabic  \* MERGEFORMAT</w:instrTex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separate"/>
    </w:r>
    <w:r w:rsidRPr="00F14212">
      <w:rPr>
        <w:rFonts w:ascii="Arial" w:hAnsi="Arial" w:cs="Arial"/>
        <w:color w:val="1F4E79" w:themeColor="accent5" w:themeShade="80"/>
        <w:sz w:val="20"/>
        <w:szCs w:val="20"/>
      </w:rPr>
      <w:t>1</w:t>
    </w:r>
    <w:r w:rsidRPr="00F14212">
      <w:rPr>
        <w:rFonts w:ascii="Arial" w:hAnsi="Arial" w:cs="Arial"/>
        <w:color w:val="1F4E79" w:themeColor="accent5" w:themeShade="80"/>
        <w:sz w:val="20"/>
        <w:szCs w:val="20"/>
      </w:rPr>
      <w:fldChar w:fldCharType="end"/>
    </w:r>
  </w:p>
  <w:p w14:paraId="65F23DD2" w14:textId="77777777" w:rsidR="009678D9" w:rsidRDefault="00967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7160" w14:textId="77777777" w:rsidR="00D94A81" w:rsidRDefault="00D94A81" w:rsidP="001A16C1">
      <w:r>
        <w:separator/>
      </w:r>
    </w:p>
  </w:footnote>
  <w:footnote w:type="continuationSeparator" w:id="0">
    <w:p w14:paraId="0B0BD2DD" w14:textId="77777777" w:rsidR="00D94A81" w:rsidRDefault="00D94A81" w:rsidP="001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76C" w14:textId="77777777" w:rsidR="00C0258B" w:rsidRDefault="00C0258B" w:rsidP="00C0258B">
    <w:pPr>
      <w:pStyle w:val="Nagwek"/>
      <w:numPr>
        <w:ilvl w:val="0"/>
        <w:numId w:val="0"/>
      </w:numPr>
      <w:tabs>
        <w:tab w:val="clear" w:pos="4536"/>
        <w:tab w:val="center" w:pos="142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Załącznik nr 3  do SWZ</w:t>
    </w:r>
    <w:r w:rsidRPr="00444122">
      <w:rPr>
        <w:rFonts w:ascii="Arial" w:hAnsi="Arial" w:cs="Arial"/>
        <w:i/>
        <w:iCs/>
        <w:sz w:val="16"/>
        <w:szCs w:val="16"/>
        <w:lang w:val="pl-PL"/>
      </w:rPr>
      <w:t xml:space="preserve"> </w:t>
    </w:r>
    <w:r w:rsidRPr="00444122">
      <w:rPr>
        <w:rFonts w:ascii="Arial" w:hAnsi="Arial" w:cs="Arial"/>
        <w:i/>
        <w:iCs/>
        <w:sz w:val="16"/>
        <w:szCs w:val="16"/>
        <w:lang w:val="pl-PL"/>
      </w:rPr>
      <w:tab/>
      <w:t>Powiat Ostrowski 2022</w:t>
    </w:r>
  </w:p>
  <w:p w14:paraId="4DCBF5AF" w14:textId="49A7C359" w:rsidR="001A16C1" w:rsidRDefault="00000000" w:rsidP="00C0258B">
    <w:pPr>
      <w:pStyle w:val="Nagwek"/>
      <w:numPr>
        <w:ilvl w:val="0"/>
        <w:numId w:val="0"/>
      </w:numPr>
      <w:tabs>
        <w:tab w:val="clear" w:pos="4536"/>
        <w:tab w:val="center" w:pos="720"/>
        <w:tab w:val="center" w:pos="9072"/>
      </w:tabs>
      <w:ind w:left="851" w:hanging="851"/>
    </w:pPr>
    <w:r>
      <w:pict w14:anchorId="311D9188">
        <v:rect id="_x0000_i1025" style="width:405.8pt;height:1pt" o:hrpct="988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A374" w14:textId="7BF93B2B" w:rsidR="009678D9" w:rsidRDefault="009678D9" w:rsidP="009678D9">
    <w:pPr>
      <w:pStyle w:val="Nagwek"/>
      <w:numPr>
        <w:ilvl w:val="0"/>
        <w:numId w:val="0"/>
      </w:numPr>
      <w:tabs>
        <w:tab w:val="clear" w:pos="4536"/>
        <w:tab w:val="center" w:pos="142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Załącznik nr 3  do SWZ</w:t>
    </w:r>
    <w:r w:rsidRPr="00444122">
      <w:rPr>
        <w:rFonts w:ascii="Arial" w:hAnsi="Arial" w:cs="Arial"/>
        <w:i/>
        <w:iCs/>
        <w:sz w:val="16"/>
        <w:szCs w:val="16"/>
        <w:lang w:val="pl-PL"/>
      </w:rPr>
      <w:t xml:space="preserve"> </w:t>
    </w:r>
    <w:r w:rsidRPr="00444122">
      <w:rPr>
        <w:rFonts w:ascii="Arial" w:hAnsi="Arial" w:cs="Arial"/>
        <w:i/>
        <w:iCs/>
        <w:sz w:val="16"/>
        <w:szCs w:val="16"/>
        <w:lang w:val="pl-PL"/>
      </w:rPr>
      <w:tab/>
      <w:t>Powiat Ostrowski 2022</w:t>
    </w:r>
  </w:p>
  <w:p w14:paraId="386180F9" w14:textId="0EAA90E1" w:rsidR="00035630" w:rsidRPr="004E12F5" w:rsidRDefault="00000000" w:rsidP="009678D9">
    <w:pPr>
      <w:pStyle w:val="Nagwek"/>
      <w:numPr>
        <w:ilvl w:val="0"/>
        <w:numId w:val="0"/>
      </w:numPr>
      <w:ind w:left="1191" w:hanging="1191"/>
    </w:pPr>
    <w:r>
      <w:pict w14:anchorId="193A967B">
        <v:rect id="_x0000_i1026" style="width:422.6pt;height:1pt" o:hrpct="988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C33"/>
    <w:multiLevelType w:val="hybridMultilevel"/>
    <w:tmpl w:val="AA540750"/>
    <w:lvl w:ilvl="0" w:tplc="F566C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647"/>
    <w:multiLevelType w:val="hybridMultilevel"/>
    <w:tmpl w:val="C698507A"/>
    <w:lvl w:ilvl="0" w:tplc="F99C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DE013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E4C99"/>
    <w:multiLevelType w:val="hybridMultilevel"/>
    <w:tmpl w:val="8D161AA0"/>
    <w:lvl w:ilvl="0" w:tplc="BDE0D1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861603">
    <w:abstractNumId w:val="4"/>
  </w:num>
  <w:num w:numId="2" w16cid:durableId="249119978">
    <w:abstractNumId w:val="1"/>
  </w:num>
  <w:num w:numId="3" w16cid:durableId="1553887472">
    <w:abstractNumId w:val="2"/>
  </w:num>
  <w:num w:numId="4" w16cid:durableId="2126608579">
    <w:abstractNumId w:val="3"/>
  </w:num>
  <w:num w:numId="5" w16cid:durableId="143933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F1"/>
    <w:rsid w:val="000226AC"/>
    <w:rsid w:val="00035630"/>
    <w:rsid w:val="00064173"/>
    <w:rsid w:val="000833D8"/>
    <w:rsid w:val="001A16C1"/>
    <w:rsid w:val="00293701"/>
    <w:rsid w:val="002B5183"/>
    <w:rsid w:val="0031516D"/>
    <w:rsid w:val="003C4D9D"/>
    <w:rsid w:val="0045150A"/>
    <w:rsid w:val="004C79E1"/>
    <w:rsid w:val="004E12F5"/>
    <w:rsid w:val="004E20DB"/>
    <w:rsid w:val="00661A4B"/>
    <w:rsid w:val="006D1C8B"/>
    <w:rsid w:val="00745CAF"/>
    <w:rsid w:val="00957175"/>
    <w:rsid w:val="009678D9"/>
    <w:rsid w:val="0099779B"/>
    <w:rsid w:val="00A57CF1"/>
    <w:rsid w:val="00C0258B"/>
    <w:rsid w:val="00D86F8B"/>
    <w:rsid w:val="00D94A81"/>
    <w:rsid w:val="00DD7173"/>
    <w:rsid w:val="00F10E8B"/>
    <w:rsid w:val="00F14212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98E0"/>
  <w14:defaultImageDpi w14:val="32767"/>
  <w15:chartTrackingRefBased/>
  <w15:docId w15:val="{E51D717B-1641-394A-8B75-F532D14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57CF1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7CF1"/>
    <w:pPr>
      <w:keepNext/>
      <w:jc w:val="both"/>
      <w:outlineLvl w:val="3"/>
    </w:pPr>
    <w:rPr>
      <w:rFonts w:ascii="Comic Sans MS" w:hAnsi="Comic Sans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7CF1"/>
    <w:rPr>
      <w:rFonts w:ascii="Comic Sans MS" w:eastAsia="Times New Roman" w:hAnsi="Comic Sans MS" w:cs="Times New Roman"/>
      <w:b/>
      <w:bCs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A57CF1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A57CF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7C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57CF1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A57CF1"/>
    <w:pPr>
      <w:numPr>
        <w:ilvl w:val="1"/>
        <w:numId w:val="1"/>
      </w:num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57CF1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A57CF1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Tekstpodstawowy22">
    <w:name w:val="Tekst podstawowy 22"/>
    <w:basedOn w:val="Normalny"/>
    <w:rsid w:val="00A57CF1"/>
    <w:pPr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A57CF1"/>
    <w:pPr>
      <w:jc w:val="both"/>
    </w:pPr>
    <w:rPr>
      <w:szCs w:val="20"/>
    </w:rPr>
  </w:style>
  <w:style w:type="paragraph" w:customStyle="1" w:styleId="Tekstpodstawowy212">
    <w:name w:val="Tekst podstawowy 212"/>
    <w:basedOn w:val="Normalny"/>
    <w:rsid w:val="00A57CF1"/>
    <w:pPr>
      <w:suppressAutoHyphens/>
      <w:jc w:val="both"/>
    </w:pPr>
    <w:rPr>
      <w:rFonts w:ascii="Comic Sans MS" w:hAnsi="Comic Sans MS"/>
      <w:lang w:eastAsia="ar-SA"/>
    </w:rPr>
  </w:style>
  <w:style w:type="paragraph" w:styleId="Akapitzlist">
    <w:name w:val="List Paragraph"/>
    <w:aliases w:val="normalny tekst,L1,Numerowanie,Akapit z listą5,CW_Lista"/>
    <w:basedOn w:val="Normalny"/>
    <w:link w:val="AkapitzlistZnak"/>
    <w:uiPriority w:val="34"/>
    <w:qFormat/>
    <w:rsid w:val="00F8746A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ormalny tekst Znak,L1 Znak,Numerowanie Znak,Akapit z listą5 Znak,CW_Lista Znak"/>
    <w:link w:val="Akapitzlist"/>
    <w:uiPriority w:val="34"/>
    <w:qFormat/>
    <w:locked/>
    <w:rsid w:val="00F8746A"/>
    <w:rPr>
      <w:rFonts w:ascii="Times New Roman" w:eastAsia="Times New Roman" w:hAnsi="Times New Roman" w:cs="Times New Roman"/>
      <w:lang w:val="x-none" w:eastAsia="x-none"/>
    </w:rPr>
  </w:style>
  <w:style w:type="table" w:customStyle="1" w:styleId="TableNormal1">
    <w:name w:val="Table Normal1"/>
    <w:uiPriority w:val="2"/>
    <w:semiHidden/>
    <w:unhideWhenUsed/>
    <w:qFormat/>
    <w:rsid w:val="00F8746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B9E3-7F19-469B-A6FA-8014971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839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Starostwo Powiatowe</cp:lastModifiedBy>
  <cp:revision>21</cp:revision>
  <dcterms:created xsi:type="dcterms:W3CDTF">2021-02-16T13:07:00Z</dcterms:created>
  <dcterms:modified xsi:type="dcterms:W3CDTF">2022-10-11T08:40:00Z</dcterms:modified>
</cp:coreProperties>
</file>