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C8" w:rsidRDefault="00CC1A6D" w:rsidP="00EC62C8">
      <w:pPr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EC62C8" w:rsidRDefault="00EC62C8" w:rsidP="00EC62C8">
      <w:pPr>
        <w:jc w:val="right"/>
        <w:rPr>
          <w:rFonts w:ascii="Times New Roman" w:hAnsi="Times New Roman" w:cs="Times New Roman"/>
          <w:b/>
          <w:szCs w:val="20"/>
        </w:rPr>
      </w:pPr>
    </w:p>
    <w:p w:rsidR="00EC62C8" w:rsidRPr="00EC62C8" w:rsidRDefault="00CC1A6D" w:rsidP="00EC62C8">
      <w:pPr>
        <w:jc w:val="right"/>
        <w:rPr>
          <w:rFonts w:asciiTheme="minorHAnsi" w:hAnsiTheme="minorHAnsi" w:cstheme="minorHAnsi"/>
          <w:sz w:val="22"/>
          <w:szCs w:val="22"/>
        </w:rPr>
      </w:pPr>
      <w:r w:rsidRPr="00EC62C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C62C8" w:rsidRPr="00EC62C8">
        <w:rPr>
          <w:rFonts w:asciiTheme="minorHAnsi" w:hAnsiTheme="minorHAnsi" w:cstheme="minorHAnsi"/>
          <w:b/>
          <w:sz w:val="22"/>
          <w:szCs w:val="22"/>
        </w:rPr>
        <w:t xml:space="preserve">Załącznik nr 2 do SWZ </w:t>
      </w:r>
      <w:r w:rsidR="00EC62C8" w:rsidRPr="00EC62C8">
        <w:rPr>
          <w:rFonts w:asciiTheme="minorHAnsi" w:hAnsiTheme="minorHAnsi" w:cstheme="minorHAnsi"/>
          <w:b/>
          <w:color w:val="FF0000"/>
          <w:sz w:val="22"/>
          <w:szCs w:val="22"/>
        </w:rPr>
        <w:t>po zmianach z dnia 07.09.2023 r.</w:t>
      </w:r>
    </w:p>
    <w:p w:rsidR="00EC62C8" w:rsidRPr="00EC62C8" w:rsidRDefault="00EC62C8" w:rsidP="00EC62C8">
      <w:pPr>
        <w:jc w:val="right"/>
        <w:rPr>
          <w:rFonts w:asciiTheme="minorHAnsi" w:hAnsiTheme="minorHAnsi" w:cstheme="minorHAnsi"/>
          <w:sz w:val="22"/>
          <w:szCs w:val="22"/>
        </w:rPr>
      </w:pPr>
      <w:r w:rsidRPr="00EC62C8">
        <w:rPr>
          <w:rFonts w:asciiTheme="minorHAnsi" w:hAnsiTheme="minorHAnsi" w:cstheme="minorHAnsi"/>
          <w:b/>
          <w:sz w:val="22"/>
          <w:szCs w:val="22"/>
        </w:rPr>
        <w:tab/>
      </w:r>
      <w:r w:rsidRPr="00EC62C8">
        <w:rPr>
          <w:rFonts w:asciiTheme="minorHAnsi" w:hAnsiTheme="minorHAnsi" w:cstheme="minorHAnsi"/>
          <w:b/>
          <w:sz w:val="22"/>
          <w:szCs w:val="22"/>
        </w:rPr>
        <w:tab/>
      </w:r>
      <w:r w:rsidRPr="00EC62C8">
        <w:rPr>
          <w:rFonts w:asciiTheme="minorHAnsi" w:hAnsiTheme="minorHAnsi" w:cstheme="minorHAnsi"/>
          <w:b/>
          <w:sz w:val="22"/>
          <w:szCs w:val="22"/>
        </w:rPr>
        <w:tab/>
      </w:r>
      <w:r w:rsidRPr="00EC62C8">
        <w:rPr>
          <w:rFonts w:asciiTheme="minorHAnsi" w:hAnsiTheme="minorHAnsi" w:cstheme="minorHAnsi"/>
          <w:b/>
          <w:sz w:val="22"/>
          <w:szCs w:val="22"/>
        </w:rPr>
        <w:tab/>
      </w:r>
      <w:r w:rsidRPr="00EC62C8">
        <w:rPr>
          <w:rFonts w:asciiTheme="minorHAnsi" w:hAnsiTheme="minorHAnsi" w:cstheme="minorHAnsi"/>
          <w:b/>
          <w:sz w:val="22"/>
          <w:szCs w:val="22"/>
        </w:rPr>
        <w:tab/>
      </w:r>
      <w:r w:rsidRPr="00EC62C8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 LI.262.6.1.2023</w:t>
      </w:r>
    </w:p>
    <w:p w:rsidR="00EC62C8" w:rsidRPr="00EC62C8" w:rsidRDefault="00EC62C8" w:rsidP="00EC62C8">
      <w:pPr>
        <w:ind w:left="4254" w:firstLine="709"/>
        <w:rPr>
          <w:rFonts w:asciiTheme="minorHAnsi" w:hAnsiTheme="minorHAnsi" w:cstheme="minorHAnsi"/>
          <w:b/>
          <w:sz w:val="22"/>
          <w:szCs w:val="22"/>
        </w:rPr>
      </w:pPr>
    </w:p>
    <w:p w:rsidR="00AC2D54" w:rsidRPr="00EC62C8" w:rsidRDefault="00CC1A6D" w:rsidP="00EC62C8">
      <w:pPr>
        <w:jc w:val="center"/>
        <w:rPr>
          <w:rFonts w:asciiTheme="minorHAnsi" w:hAnsiTheme="minorHAnsi" w:cstheme="minorHAnsi"/>
          <w:sz w:val="22"/>
          <w:szCs w:val="22"/>
        </w:rPr>
      </w:pPr>
      <w:r w:rsidRPr="00EC62C8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</w:t>
      </w:r>
      <w:r w:rsidR="00693815" w:rsidRPr="00EC62C8">
        <w:rPr>
          <w:rFonts w:asciiTheme="minorHAnsi" w:hAnsiTheme="minorHAnsi" w:cstheme="minorHAnsi"/>
          <w:b/>
          <w:sz w:val="22"/>
          <w:szCs w:val="22"/>
        </w:rPr>
        <w:t>1</w:t>
      </w:r>
    </w:p>
    <w:p w:rsidR="00AC2D54" w:rsidRPr="00EC62C8" w:rsidRDefault="00CC1A6D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EC62C8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:rsidR="00AC2D54" w:rsidRPr="00EC62C8" w:rsidRDefault="00AC2D54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850"/>
        <w:gridCol w:w="709"/>
        <w:gridCol w:w="1276"/>
        <w:gridCol w:w="992"/>
        <w:gridCol w:w="992"/>
        <w:gridCol w:w="1134"/>
        <w:gridCol w:w="992"/>
      </w:tblGrid>
      <w:tr w:rsidR="00EC62C8" w:rsidRPr="00EC62C8" w:rsidTr="007B56E9">
        <w:trPr>
          <w:cantSplit/>
          <w:trHeight w:val="27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62C8" w:rsidRPr="00EC62C8" w:rsidRDefault="00EC62C8" w:rsidP="007B56E9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EC62C8">
              <w:rPr>
                <w:rFonts w:asciiTheme="minorHAnsi" w:hAnsiTheme="minorHAnsi" w:cstheme="minorHAnsi"/>
              </w:rPr>
              <w:t>Przedmiot zamówienia</w:t>
            </w:r>
          </w:p>
          <w:p w:rsidR="00EC62C8" w:rsidRPr="00EC62C8" w:rsidRDefault="00EC62C8" w:rsidP="007B56E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:rsidR="00EC62C8" w:rsidRPr="00EC62C8" w:rsidRDefault="00EC62C8" w:rsidP="007B56E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:rsidR="00EC62C8" w:rsidRPr="00EC62C8" w:rsidRDefault="00EC62C8" w:rsidP="007B56E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62C8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:rsidR="00EC62C8" w:rsidRPr="00EC62C8" w:rsidRDefault="00EC62C8" w:rsidP="007B56E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 w:rsidRPr="00EC62C8">
              <w:rPr>
                <w:rFonts w:asciiTheme="minorHAnsi" w:hAnsiTheme="minorHAnsi" w:cstheme="minorHAnsi"/>
                <w:bCs/>
                <w:i/>
                <w:color w:val="00B050"/>
                <w:sz w:val="22"/>
                <w:szCs w:val="22"/>
              </w:rPr>
              <w:t>9/4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 w:rsidRPr="00EC62C8">
              <w:rPr>
                <w:rFonts w:asciiTheme="minorHAnsi" w:hAnsiTheme="minorHAnsi" w:cstheme="minorHAnsi"/>
                <w:bCs/>
                <w:i/>
                <w:color w:val="00B050"/>
                <w:sz w:val="22"/>
                <w:szCs w:val="22"/>
              </w:rPr>
              <w:t>6+7</w:t>
            </w:r>
          </w:p>
        </w:tc>
      </w:tr>
      <w:tr w:rsidR="00EC62C8" w:rsidRPr="00EC62C8" w:rsidTr="007B56E9">
        <w:trPr>
          <w:cantSplit/>
          <w:trHeight w:val="26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2C8" w:rsidRPr="00EC62C8" w:rsidTr="007B56E9">
        <w:trPr>
          <w:cantSplit/>
          <w:trHeight w:val="1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EC62C8" w:rsidRPr="00EC62C8" w:rsidTr="007B56E9">
        <w:trPr>
          <w:cantSplit/>
          <w:trHeight w:val="1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Defibrylator z </w:t>
            </w:r>
            <w:r w:rsidRPr="00EC62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 xml:space="preserve">kardiowersją </w:t>
            </w:r>
          </w:p>
          <w:p w:rsidR="00EC62C8" w:rsidRPr="00EC62C8" w:rsidRDefault="00EC62C8" w:rsidP="007B56E9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 wyposażeniem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C62C8" w:rsidRPr="00EC62C8" w:rsidTr="007B56E9">
        <w:trPr>
          <w:cantSplit/>
          <w:trHeight w:val="319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C8" w:rsidRPr="00EC62C8" w:rsidRDefault="00EC62C8" w:rsidP="007B56E9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C2D54" w:rsidRPr="00EC62C8" w:rsidRDefault="00AC2D54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C2D54" w:rsidRPr="00EC62C8" w:rsidRDefault="00CC1A6D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EC62C8">
        <w:rPr>
          <w:rFonts w:eastAsia="SimSun" w:cstheme="minorHAnsi"/>
          <w:color w:val="000000"/>
          <w:kern w:val="2"/>
          <w:lang w:eastAsia="pl-PL" w:bidi="hi-IN"/>
        </w:rPr>
        <w:br/>
      </w:r>
      <w:r w:rsidRPr="00EC62C8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</w:t>
      </w:r>
      <w:r w:rsidR="00EC62C8" w:rsidRPr="00EC62C8">
        <w:rPr>
          <w:rFonts w:eastAsia="SimSun" w:cstheme="minorHAnsi"/>
          <w:b/>
          <w:bCs/>
          <w:color w:val="000000"/>
          <w:kern w:val="2"/>
          <w:lang w:eastAsia="pl-PL" w:bidi="hi-IN"/>
        </w:rPr>
        <w:t>amówienia wynosi……………..miesięcy</w:t>
      </w:r>
      <w:r w:rsidRPr="00EC62C8">
        <w:rPr>
          <w:rFonts w:eastAsia="SimSun" w:cstheme="minorHAnsi"/>
          <w:b/>
          <w:bCs/>
          <w:color w:val="000000"/>
          <w:kern w:val="2"/>
          <w:lang w:eastAsia="pl-PL" w:bidi="hi-IN"/>
        </w:rPr>
        <w:t>.</w:t>
      </w:r>
    </w:p>
    <w:p w:rsidR="00AC2D54" w:rsidRPr="00EC62C8" w:rsidRDefault="00AC2D54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:rsidR="00AC2D54" w:rsidRPr="00EC62C8" w:rsidRDefault="00CC1A6D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EC62C8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:rsidR="00AC2D54" w:rsidRPr="00EC62C8" w:rsidRDefault="00AC2D5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395" w:type="dxa"/>
        <w:tblLayout w:type="fixed"/>
        <w:tblLook w:val="04A0" w:firstRow="1" w:lastRow="0" w:firstColumn="1" w:lastColumn="0" w:noHBand="0" w:noVBand="1"/>
      </w:tblPr>
      <w:tblGrid>
        <w:gridCol w:w="566"/>
        <w:gridCol w:w="4915"/>
        <w:gridCol w:w="1290"/>
        <w:gridCol w:w="33"/>
        <w:gridCol w:w="3591"/>
      </w:tblGrid>
      <w:tr w:rsidR="00AC2D54" w:rsidRPr="00EC62C8">
        <w:trPr>
          <w:cantSplit/>
          <w:trHeight w:val="227"/>
        </w:trPr>
        <w:tc>
          <w:tcPr>
            <w:tcW w:w="6804" w:type="dxa"/>
            <w:gridSpan w:val="4"/>
            <w:vAlign w:val="center"/>
          </w:tcPr>
          <w:p w:rsidR="00AC2D54" w:rsidRPr="00EC62C8" w:rsidRDefault="00CC1A6D">
            <w:pPr>
              <w:pStyle w:val="NormalnyWeb"/>
              <w:numPr>
                <w:ilvl w:val="0"/>
                <w:numId w:val="2"/>
              </w:numPr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Defibrylator z kardiowersją i wyposażeniem – 2 szt.</w:t>
            </w:r>
          </w:p>
        </w:tc>
        <w:tc>
          <w:tcPr>
            <w:tcW w:w="3591" w:type="dxa"/>
            <w:vAlign w:val="center"/>
          </w:tcPr>
          <w:p w:rsidR="00AC2D54" w:rsidRPr="00EC62C8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:rsidR="00AC2D54" w:rsidRPr="00EC62C8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D54" w:rsidRPr="00EC62C8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:rsidR="00AC2D54" w:rsidRPr="00EC62C8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D54" w:rsidRPr="00EC62C8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:rsidR="00AC2D54" w:rsidRPr="00EC62C8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D54" w:rsidRPr="00EC62C8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5" w:type="dxa"/>
            <w:vAlign w:val="center"/>
          </w:tcPr>
          <w:p w:rsidR="00AC2D54" w:rsidRPr="00EC62C8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4914" w:type="dxa"/>
            <w:gridSpan w:val="3"/>
            <w:vAlign w:val="center"/>
          </w:tcPr>
          <w:p w:rsidR="00AC2D54" w:rsidRPr="00EC62C8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r w:rsidR="00330181" w:rsidRPr="00EC62C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/2022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Certyfikat CE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Aparat przenośny z torbą transportową, testerem wyładowań.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Zasilanie akumulatorowe z akumulatorów bez efektu pamięci.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Ładowanie akumulatorów z sieci 230 V AC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Czas pracy urządzenia na jednym akumulatorze –  min. 180 minut monitorowania lub</w:t>
            </w:r>
            <w:r w:rsidR="00396AAD" w:rsidRPr="00EC62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6AAD" w:rsidRPr="00EC62C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140</w:t>
            </w:r>
            <w:r w:rsidRPr="00EC62C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 </w:t>
            </w:r>
            <w:r w:rsidRPr="00EC62C8">
              <w:rPr>
                <w:rFonts w:asciiTheme="minorHAnsi" w:hAnsiTheme="minorHAnsi" w:cstheme="minorHAnsi"/>
                <w:strike/>
                <w:color w:val="00B050"/>
                <w:sz w:val="22"/>
                <w:szCs w:val="22"/>
              </w:rPr>
              <w:t>200</w:t>
            </w: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 xml:space="preserve"> defibrylacji x 200J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sz w:val="22"/>
                <w:szCs w:val="22"/>
              </w:rPr>
              <w:t>Ciężar defibrylatora max. 10 kg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Codzienny auto test poprawności działania urządzenia bez udziału użytkownika, bez konieczności włączania urządzenia. Potwierdzenie poprawności działania z datą, godziną, numerem aparatu umieszczone na wydruku lub przytoczony wydruk </w:t>
            </w:r>
            <w:r w:rsidRPr="00EC62C8">
              <w:rPr>
                <w:rFonts w:asciiTheme="minorHAnsi" w:eastAsia="Times New Roman" w:hAnsiTheme="minorHAnsi" w:cstheme="minorHAnsi"/>
                <w:strike/>
                <w:color w:val="00B050"/>
                <w:sz w:val="22"/>
                <w:szCs w:val="22"/>
              </w:rPr>
              <w:t>i przesłane/transmisja danych do: działu technicznego szpitala, koordynatora medycznego pogotowia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 w:rsidP="004751C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Norma </w:t>
            </w:r>
            <w:r w:rsidRPr="00EC62C8">
              <w:rPr>
                <w:rFonts w:asciiTheme="minorHAnsi" w:eastAsia="Times New Roman" w:hAnsiTheme="minorHAnsi" w:cstheme="minorHAnsi"/>
                <w:strike/>
                <w:color w:val="00B050"/>
                <w:sz w:val="22"/>
                <w:szCs w:val="22"/>
              </w:rPr>
              <w:t xml:space="preserve">IP </w:t>
            </w:r>
            <w:r w:rsidR="00330181" w:rsidRPr="00EC62C8">
              <w:rPr>
                <w:rFonts w:asciiTheme="minorHAnsi" w:eastAsia="Times New Roman" w:hAnsiTheme="minorHAnsi" w:cstheme="minorHAnsi"/>
                <w:strike/>
                <w:color w:val="00B050"/>
                <w:sz w:val="22"/>
                <w:szCs w:val="22"/>
              </w:rPr>
              <w:t>4</w:t>
            </w:r>
            <w:r w:rsidRPr="00EC62C8">
              <w:rPr>
                <w:rFonts w:asciiTheme="minorHAnsi" w:eastAsia="Times New Roman" w:hAnsiTheme="minorHAnsi" w:cstheme="minorHAnsi"/>
                <w:strike/>
                <w:color w:val="00B050"/>
                <w:sz w:val="22"/>
                <w:szCs w:val="22"/>
              </w:rPr>
              <w:t>3</w:t>
            </w:r>
            <w:r w:rsidR="00330181" w:rsidRPr="00EC62C8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="00330181"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IP X1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Defibrylacja synchroniczna i asynchroniczna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Defibrylacja w trybie ręcznym i AED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Metronom reanimacyjny z możliwością ustawień rytmu częstości uciśnięć dla pacjentów zaintubowanych i nie zaintubowanych, oraz dla dorosłych i dzieci.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Dwufazowa fala defibrylacji w zakresie energii  od 2 do 360 J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Dostępne poziomy energii zewnętrznej – 25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Automatyczna regulacja parametrów defibrylacji z uwzględnieniem impedancji ciała pacjenta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Defibrylacja przez łyżki </w:t>
            </w:r>
            <w:proofErr w:type="spellStart"/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defibrylacyjne</w:t>
            </w:r>
            <w:proofErr w:type="spellEnd"/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zewnętrzne</w:t>
            </w:r>
            <w:r w:rsidR="00330181"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30181" w:rsidRPr="00EC62C8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  <w:t>z możliwością defibrylacji pacjentów pediatrycznych</w:t>
            </w: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elektrody naklejane</w:t>
            </w:r>
            <w:r w:rsidRPr="00EC62C8">
              <w:rPr>
                <w:rFonts w:asciiTheme="minorHAnsi" w:eastAsia="Times New Roman" w:hAnsiTheme="minorHAnsi" w:cstheme="minorHAnsi"/>
                <w:strike/>
                <w:color w:val="00B050"/>
                <w:sz w:val="22"/>
                <w:szCs w:val="22"/>
              </w:rPr>
              <w:t>, na wyposażeniu nakładki  dziecięce/pediatryczne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Łyżki twarde </w:t>
            </w:r>
            <w:r w:rsidRPr="00EC62C8">
              <w:rPr>
                <w:rFonts w:asciiTheme="minorHAnsi" w:eastAsia="Times New Roman" w:hAnsiTheme="minorHAnsi" w:cstheme="minorHAnsi"/>
                <w:strike/>
                <w:color w:val="00B050"/>
                <w:sz w:val="22"/>
                <w:szCs w:val="22"/>
              </w:rPr>
              <w:t>z regulacją energii defibrylacji</w:t>
            </w: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wyposażone w przycisk umożliwiający drukowanie na żądanie. Mocowanie łyżek twardych bezpośrednio w obudowie urządzenia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Pełna obsługa defibrylatora z łyżek </w:t>
            </w:r>
            <w:proofErr w:type="spellStart"/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defibrylacyjnych</w:t>
            </w:r>
            <w:proofErr w:type="spellEnd"/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zewnętrznych (</w:t>
            </w:r>
            <w:r w:rsidRPr="00EC62C8">
              <w:rPr>
                <w:rFonts w:asciiTheme="minorHAnsi" w:eastAsia="Times New Roman" w:hAnsiTheme="minorHAnsi" w:cstheme="minorHAnsi"/>
                <w:strike/>
                <w:color w:val="00B050"/>
                <w:sz w:val="22"/>
                <w:szCs w:val="22"/>
              </w:rPr>
              <w:t>wybór energii</w:t>
            </w: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defibrylacja, wydruk start/stop na żądanie</w:t>
            </w:r>
            <w:r w:rsidRPr="00EC62C8">
              <w:rPr>
                <w:rFonts w:asciiTheme="minorHAnsi" w:eastAsia="Times New Roman" w:hAnsiTheme="minorHAnsi" w:cstheme="minorHAnsi"/>
                <w:strike/>
                <w:color w:val="00B050"/>
                <w:sz w:val="22"/>
                <w:szCs w:val="22"/>
              </w:rPr>
              <w:t>), także przy zainstalowanych nakładkach pediatrycznych/neonatologicznych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Stymulacja przezskórna w trybie sztywnym i na żądanie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stymulacji  40-170 impulsów/minutę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Regulacja prądu stymulacji  0-170 </w:t>
            </w:r>
            <w:proofErr w:type="spellStart"/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</w:t>
            </w:r>
            <w:proofErr w:type="spellEnd"/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Odczyt 3 </w:t>
            </w:r>
            <w:r w:rsidRPr="00EC62C8">
              <w:rPr>
                <w:rFonts w:asciiTheme="minorHAnsi" w:eastAsia="Times New Roman" w:hAnsiTheme="minorHAnsi" w:cstheme="minorHAnsi"/>
                <w:strike/>
                <w:color w:val="00B050"/>
                <w:sz w:val="22"/>
                <w:szCs w:val="22"/>
              </w:rPr>
              <w:t>i 12</w:t>
            </w:r>
            <w:r w:rsidRPr="00EC62C8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odprowadzeń EKG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strike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strike/>
                <w:color w:val="00B050"/>
                <w:sz w:val="22"/>
                <w:szCs w:val="22"/>
              </w:rPr>
              <w:t>Automatyczna interpretacja i diagnoza 12-odprowadzeniowego badania EKG uwzględniająca wiek i płeć pacjenta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Alarmy częstości akcji serca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Zakres pomiaru tętna od 20-250 u/min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Zakres wzmocnienia sygnału EKG  od 0,5 do 4cm/</w:t>
            </w:r>
            <w:proofErr w:type="spellStart"/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Mv</w:t>
            </w:r>
            <w:proofErr w:type="spellEnd"/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8 poziomów wzmocnienia.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Prezentacja zapisu EKG –  3 kanały na ekranie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Ekran kolorowy </w:t>
            </w:r>
            <w:r w:rsidRPr="00EC62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 przekątnej </w:t>
            </w:r>
            <w:r w:rsidR="00330181" w:rsidRPr="00EC62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30181" w:rsidRPr="00EC62C8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  <w:t>min. 5,7</w:t>
            </w:r>
            <w:r w:rsidR="00330181"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”  </w:t>
            </w:r>
            <w:r w:rsidRPr="00EC62C8">
              <w:rPr>
                <w:rFonts w:asciiTheme="minorHAnsi" w:eastAsia="Times New Roman" w:hAnsiTheme="minorHAnsi" w:cstheme="minorHAnsi"/>
                <w:strike/>
                <w:color w:val="00B050"/>
                <w:sz w:val="22"/>
                <w:szCs w:val="22"/>
              </w:rPr>
              <w:t>8,4’’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 w:rsidP="002A1A5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Wydruk EKG na papierze o szerokości </w:t>
            </w:r>
            <w:r w:rsidR="00135595" w:rsidRPr="00EC62C8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  <w:t xml:space="preserve">w zakresie min. </w:t>
            </w:r>
            <w:r w:rsidR="00396AAD" w:rsidRPr="00EC62C8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  <w:t>50</w:t>
            </w:r>
            <w:r w:rsidR="002A1A59" w:rsidRPr="00EC62C8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  <w:t xml:space="preserve"> mm</w:t>
            </w:r>
            <w:r w:rsidR="00396AAD" w:rsidRPr="00EC62C8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="00135595" w:rsidRPr="00EC62C8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  <w:t xml:space="preserve">max </w:t>
            </w:r>
            <w:r w:rsidRPr="00EC62C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100 </w:t>
            </w: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mm.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strike/>
                <w:color w:val="00B05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strike/>
                <w:color w:val="00B050"/>
                <w:sz w:val="22"/>
                <w:szCs w:val="22"/>
              </w:rPr>
              <w:t>Wydruk trendów czasowych mierzonych parametrów oraz pomiarów uniesienia odcinka ST na każdym odprowadzeniu EKG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 w:rsidP="0033018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Możliwość rozbudowy o mod</w:t>
            </w:r>
            <w:r w:rsidR="00396AAD"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uł </w:t>
            </w: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do transmisji danych </w:t>
            </w:r>
            <w:r w:rsidRPr="00EC62C8">
              <w:rPr>
                <w:rFonts w:asciiTheme="minorHAnsi" w:eastAsia="Times New Roman" w:hAnsiTheme="minorHAnsi" w:cstheme="minorHAnsi"/>
                <w:strike/>
                <w:color w:val="00B050"/>
                <w:sz w:val="22"/>
                <w:szCs w:val="22"/>
              </w:rPr>
              <w:t>przez wbudowany lub zewnętrzny modem do istniejących stacji odbiorczych w pracowniach kardiologii inwazyjnej.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Moduł pomiaru SpO2  w zakresie 50-100% z czujnikiem typu klips na palec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strike/>
                <w:color w:val="00B05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strike/>
                <w:color w:val="00B050"/>
                <w:sz w:val="22"/>
                <w:szCs w:val="22"/>
              </w:rPr>
              <w:t xml:space="preserve">Możliwość rozbudowy o modem do pomiaru </w:t>
            </w:r>
            <w:proofErr w:type="spellStart"/>
            <w:r w:rsidRPr="00EC62C8">
              <w:rPr>
                <w:rFonts w:asciiTheme="minorHAnsi" w:eastAsia="Times New Roman" w:hAnsiTheme="minorHAnsi" w:cstheme="minorHAnsi"/>
                <w:strike/>
                <w:color w:val="00B050"/>
                <w:sz w:val="22"/>
                <w:szCs w:val="22"/>
              </w:rPr>
              <w:t>NiBP</w:t>
            </w:r>
            <w:proofErr w:type="spellEnd"/>
            <w:r w:rsidRPr="00EC62C8">
              <w:rPr>
                <w:rFonts w:asciiTheme="minorHAnsi" w:eastAsia="Times New Roman" w:hAnsiTheme="minorHAnsi" w:cstheme="minorHAnsi"/>
                <w:strike/>
                <w:color w:val="00B050"/>
                <w:sz w:val="22"/>
                <w:szCs w:val="22"/>
              </w:rPr>
              <w:t>.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tcBorders>
              <w:top w:val="nil"/>
            </w:tcBorders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tcBorders>
              <w:top w:val="nil"/>
            </w:tcBorders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EC62C8">
              <w:rPr>
                <w:rFonts w:asciiTheme="minorHAnsi" w:eastAsia="Times New Roman" w:hAnsiTheme="minorHAnsi" w:cstheme="minorHAnsi"/>
                <w:sz w:val="22"/>
                <w:szCs w:val="22"/>
              </w:rPr>
              <w:t>Kabel terapeutyczny do stymulacji,  kardiowersji i defibrylacji przez elektrody zewnętrzne – 3 szt., kabel EKG 3 odprowadzeniowy – 3 szt., czujnik saturacji SpO2 typu klips na palec – 3 szt.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Wykonanie przeglądów serwisowych – wg zaleceń producenta - w trakcie trwania gwarancji (w tym jeden w ostatnim miesiącu gwarancji)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AC2D54" w:rsidRPr="00EC62C8">
        <w:trPr>
          <w:cantSplit/>
          <w:trHeight w:val="227"/>
        </w:trPr>
        <w:tc>
          <w:tcPr>
            <w:tcW w:w="566" w:type="dxa"/>
            <w:vAlign w:val="center"/>
          </w:tcPr>
          <w:p w:rsidR="00AC2D54" w:rsidRPr="00EC62C8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5" w:type="dxa"/>
            <w:gridSpan w:val="2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3624" w:type="dxa"/>
            <w:gridSpan w:val="2"/>
            <w:vAlign w:val="center"/>
          </w:tcPr>
          <w:p w:rsidR="00AC2D54" w:rsidRPr="00EC62C8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2C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Częstotliwość przeglądów</w:t>
            </w:r>
          </w:p>
        </w:tc>
      </w:tr>
    </w:tbl>
    <w:p w:rsidR="00AC2D54" w:rsidRPr="00EC62C8" w:rsidRDefault="00CC1A6D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62C8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EC62C8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:rsidR="00AC2D54" w:rsidRPr="00EC62C8" w:rsidRDefault="00AC2D54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C2D54" w:rsidRPr="00EC62C8" w:rsidRDefault="00CC1A6D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62C8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EC62C8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:rsidR="00AC2D54" w:rsidRPr="00EC62C8" w:rsidRDefault="00AC2D54" w:rsidP="00EC62C8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AC2D54" w:rsidRPr="00EC62C8" w:rsidTr="00EC62C8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D54" w:rsidRPr="00EC62C8" w:rsidRDefault="00AC2D5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:rsidR="00AC2D54" w:rsidRPr="00EC62C8" w:rsidRDefault="00AC2D5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:rsidR="00AC2D54" w:rsidRPr="00EC62C8" w:rsidRDefault="00AC2D54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D54" w:rsidRPr="00EC62C8" w:rsidRDefault="00AC2D54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:rsidR="00AC2D54" w:rsidRPr="00EC62C8" w:rsidRDefault="00CC1A6D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EC62C8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:rsidR="00AC2D54" w:rsidRPr="00EC62C8" w:rsidRDefault="00CC1A6D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EC62C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C62C8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</w:t>
            </w:r>
          </w:p>
          <w:p w:rsidR="00AC2D54" w:rsidRPr="00EC62C8" w:rsidRDefault="00CC1A6D" w:rsidP="00EC62C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62C8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Wykonawcy </w:t>
            </w:r>
          </w:p>
        </w:tc>
      </w:tr>
    </w:tbl>
    <w:p w:rsidR="00AC2D54" w:rsidRDefault="00AC2D54">
      <w:pPr>
        <w:pStyle w:val="Bezodstpw"/>
        <w:spacing w:after="170"/>
        <w:jc w:val="both"/>
      </w:pPr>
      <w:bookmarkStart w:id="0" w:name="_GoBack"/>
      <w:bookmarkEnd w:id="0"/>
    </w:p>
    <w:sectPr w:rsidR="00AC2D54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BC9" w:rsidRDefault="00CC1A6D">
      <w:r>
        <w:separator/>
      </w:r>
    </w:p>
  </w:endnote>
  <w:endnote w:type="continuationSeparator" w:id="0">
    <w:p w:rsidR="00D22BC9" w:rsidRDefault="00CC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54" w:rsidRDefault="00AC2D54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:rsidR="00AC2D54" w:rsidRDefault="00AC2D54">
    <w:pPr>
      <w:pStyle w:val="Stopka1"/>
      <w:ind w:right="360"/>
      <w:jc w:val="both"/>
    </w:pPr>
  </w:p>
  <w:p w:rsidR="00AC2D54" w:rsidRDefault="00AC2D54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BC9" w:rsidRDefault="00CC1A6D">
      <w:r>
        <w:separator/>
      </w:r>
    </w:p>
  </w:footnote>
  <w:footnote w:type="continuationSeparator" w:id="0">
    <w:p w:rsidR="00D22BC9" w:rsidRDefault="00CC1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C8" w:rsidRDefault="00EC62C8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2BC6914B" wp14:editId="7BC0AD3B">
          <wp:simplePos x="0" y="0"/>
          <wp:positionH relativeFrom="column">
            <wp:posOffset>571500</wp:posOffset>
          </wp:positionH>
          <wp:positionV relativeFrom="paragraph">
            <wp:posOffset>-152400</wp:posOffset>
          </wp:positionV>
          <wp:extent cx="4469130" cy="586740"/>
          <wp:effectExtent l="0" t="0" r="7620" b="3810"/>
          <wp:wrapSquare wrapText="largest"/>
          <wp:docPr id="106076372" name="Obraz 106076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4CFE"/>
    <w:multiLevelType w:val="multilevel"/>
    <w:tmpl w:val="F4D8BAC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0042961"/>
    <w:multiLevelType w:val="multilevel"/>
    <w:tmpl w:val="6EF2B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9953B3"/>
    <w:multiLevelType w:val="multilevel"/>
    <w:tmpl w:val="82CEABC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54"/>
    <w:rsid w:val="00135595"/>
    <w:rsid w:val="00167632"/>
    <w:rsid w:val="002A1A59"/>
    <w:rsid w:val="00330181"/>
    <w:rsid w:val="00396AAD"/>
    <w:rsid w:val="004751C4"/>
    <w:rsid w:val="00643FA9"/>
    <w:rsid w:val="00693815"/>
    <w:rsid w:val="00991CA3"/>
    <w:rsid w:val="00AB21B3"/>
    <w:rsid w:val="00AC2D54"/>
    <w:rsid w:val="00B140CF"/>
    <w:rsid w:val="00C97EC7"/>
    <w:rsid w:val="00CC1A6D"/>
    <w:rsid w:val="00D22BC9"/>
    <w:rsid w:val="00E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2CD607-7C5C-4B58-B598-89C67004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E7BA1"/>
    <w:pPr>
      <w:ind w:left="720"/>
      <w:contextualSpacing/>
    </w:pPr>
    <w:rPr>
      <w:rFonts w:cs="Mangal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1CE3-8A75-40B2-8330-302540FA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Specjalista ds. Zamówień Publicznych</cp:lastModifiedBy>
  <cp:revision>2</cp:revision>
  <cp:lastPrinted>2023-09-06T07:28:00Z</cp:lastPrinted>
  <dcterms:created xsi:type="dcterms:W3CDTF">2023-09-07T06:49:00Z</dcterms:created>
  <dcterms:modified xsi:type="dcterms:W3CDTF">2023-09-07T06:49:00Z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