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1E431" w14:textId="0CF77B5B" w:rsidR="000B54C1" w:rsidRPr="000B54C1" w:rsidRDefault="000B54C1" w:rsidP="000B54C1">
      <w:pPr>
        <w:pStyle w:val="Tekstpodstawowy"/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SPECYFIKACJA WYPOSAŻENIA STAŁEGO - ZAŁACZNIK 4A</w:t>
      </w:r>
      <w:r w:rsidR="00FB609E">
        <w:rPr>
          <w:b/>
          <w:bCs/>
          <w:sz w:val="20"/>
          <w:szCs w:val="20"/>
        </w:rPr>
        <w:t xml:space="preserve"> do PFU</w:t>
      </w:r>
    </w:p>
    <w:p w14:paraId="1D99CB05" w14:textId="124854BE" w:rsidR="000B54C1" w:rsidRDefault="000B54C1" w:rsidP="000B54C1">
      <w:pPr>
        <w:pStyle w:val="Tekstpodstawowy"/>
        <w:spacing w:after="0" w:line="360" w:lineRule="auto"/>
        <w:jc w:val="center"/>
        <w:rPr>
          <w:i/>
          <w:iCs/>
          <w:sz w:val="20"/>
          <w:szCs w:val="20"/>
        </w:rPr>
      </w:pPr>
      <w:r w:rsidRPr="004C5E1B">
        <w:rPr>
          <w:i/>
          <w:iCs/>
          <w:sz w:val="20"/>
          <w:szCs w:val="20"/>
        </w:rPr>
        <w:t>Digestorium formalinowe  –</w:t>
      </w:r>
      <w:r>
        <w:rPr>
          <w:i/>
          <w:iCs/>
          <w:sz w:val="20"/>
          <w:szCs w:val="20"/>
        </w:rPr>
        <w:t xml:space="preserve"> 4</w:t>
      </w:r>
      <w:r w:rsidRPr="004C5E1B">
        <w:rPr>
          <w:i/>
          <w:iCs/>
          <w:sz w:val="20"/>
          <w:szCs w:val="20"/>
        </w:rPr>
        <w:t xml:space="preserve"> szt.</w:t>
      </w:r>
    </w:p>
    <w:p w14:paraId="65052AD0" w14:textId="77777777" w:rsidR="000B54C1" w:rsidRPr="004C5E1B" w:rsidRDefault="000B54C1" w:rsidP="000B54C1">
      <w:pPr>
        <w:pStyle w:val="Tekstpodstawowy"/>
        <w:spacing w:after="0" w:line="360" w:lineRule="auto"/>
        <w:jc w:val="center"/>
        <w:rPr>
          <w:i/>
          <w:iCs/>
          <w:sz w:val="20"/>
          <w:szCs w:val="20"/>
        </w:rPr>
      </w:pPr>
    </w:p>
    <w:p w14:paraId="300E4600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Stół formalinowy do pracy z materiałem histologicznym. </w:t>
      </w:r>
    </w:p>
    <w:p w14:paraId="2EA036E8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Materiał wykonania konstrukcja główna, blat roboczy, główne elementy stołu - stal nierdzewna satynowana AISI 304 o grubości:  1,5 mm, pomocnicze elementy stołu (np. szufladki na kasetki, podajniki do ręcznika, drzwiczki serwisowe) – stal nierdzewna o grubości 1 mm.</w:t>
      </w:r>
    </w:p>
    <w:p w14:paraId="53673201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Trójpunktowy wyciąg oparów z filtrem wstępnym oraz formalinowym. </w:t>
      </w:r>
    </w:p>
    <w:p w14:paraId="38F63465" w14:textId="35A71318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Wyciąg oparów</w:t>
      </w:r>
      <w:r w:rsidR="00810778">
        <w:rPr>
          <w:sz w:val="20"/>
          <w:szCs w:val="20"/>
        </w:rPr>
        <w:t>.</w:t>
      </w:r>
    </w:p>
    <w:p w14:paraId="5844CCF9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Stół wyposażony we frontową szybę z elektromechaniczną regulacją wysokości, oraz 2 boczne szyby wykonane ze szkła hartowanego.</w:t>
      </w:r>
    </w:p>
    <w:p w14:paraId="627854D5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Wymiary </w:t>
      </w:r>
    </w:p>
    <w:p w14:paraId="3D5B4A31" w14:textId="77777777" w:rsidR="000B54C1" w:rsidRPr="00F14CD4" w:rsidRDefault="000B54C1" w:rsidP="000B54C1">
      <w:pPr>
        <w:pStyle w:val="Akapitzlist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Szerokość – 1800 mm</w:t>
      </w:r>
    </w:p>
    <w:p w14:paraId="723A1955" w14:textId="77777777" w:rsidR="000B54C1" w:rsidRPr="00F14CD4" w:rsidRDefault="000B54C1" w:rsidP="000B54C1">
      <w:pPr>
        <w:pStyle w:val="Akapitzlist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Głębokość – 780 mm</w:t>
      </w:r>
    </w:p>
    <w:p w14:paraId="39EAC26C" w14:textId="77777777" w:rsidR="000B54C1" w:rsidRPr="00F14CD4" w:rsidRDefault="000B54C1" w:rsidP="000B54C1">
      <w:pPr>
        <w:pStyle w:val="Akapitzlist"/>
        <w:numPr>
          <w:ilvl w:val="1"/>
          <w:numId w:val="3"/>
        </w:numPr>
        <w:spacing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Wysokość – 2300 mm -2600 mm</w:t>
      </w:r>
    </w:p>
    <w:p w14:paraId="7E317C54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Wysokość blatu roboczego od podłoża ~90 cm </w:t>
      </w:r>
    </w:p>
    <w:p w14:paraId="4B7B8D37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Regulacja wysokości stołu w zakresie około 25 cm </w:t>
      </w:r>
    </w:p>
    <w:p w14:paraId="3F6070B9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Urządzenie wyposażone w niezależny przycisk awaryjnego wyłączenia zasilania.</w:t>
      </w:r>
    </w:p>
    <w:p w14:paraId="71D13EFF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Stół bez własnego wentylatora. </w:t>
      </w:r>
    </w:p>
    <w:p w14:paraId="036ABC05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Układ dedykowany do podłączenia do wentylacji własnej budynku z wysoko wydajnym wbudowanym systemem filtracji (wyposażony w w filtr wstępny i formalinowy), zapewniającym zredukowanie do minimum ilość szkodliwych oparów podczas pracy </w:t>
      </w:r>
    </w:p>
    <w:p w14:paraId="30BBB733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Urządzenie z wbudowanym gniazdem na filtry. </w:t>
      </w:r>
    </w:p>
    <w:p w14:paraId="2C6FFFE3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Detektor zanieczyszczenia powietrza formaliną - wbudowany w urządzenie, kolorowy, dotykowy czujnik stężenia formaldehydu na wysokości pracy użytkowej. Elektroniczny czujnik pomiaru w czasie rzeczywistym stężenia formaldehydu w PPM (zakres  0,000 – 5,000 ppm) Wizualny sygnał o przekroczeniu normy na kolorowym wyświetlaczu. Czujnik wyposażony w: sygnalizację przekroczenia limitu krótkoterminowej ekspozycji na formalinę, sygnalizację przekroczenia limitu długoterminowej ekspozycji na formalinę, kolorystyczne wskazanie zanieczyszczenia oparami formaliny (zielony, żółty, czerwony), możliwość zapisu danych. </w:t>
      </w:r>
    </w:p>
    <w:p w14:paraId="3FDCED18" w14:textId="77777777" w:rsidR="00810778" w:rsidRDefault="000B54C1" w:rsidP="00810778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Detektor stężenia formaldehydu  wraz z wyświetlaczem zlokalizowany  wewnątrz przestrzeni roboczej urządzenia.</w:t>
      </w:r>
    </w:p>
    <w:p w14:paraId="3E97CC14" w14:textId="05198A57" w:rsidR="000B54C1" w:rsidRPr="00810778" w:rsidRDefault="000B54C1" w:rsidP="00810778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810778">
        <w:rPr>
          <w:sz w:val="20"/>
          <w:szCs w:val="20"/>
        </w:rPr>
        <w:t xml:space="preserve">Detektor stężenia formaldehydu  </w:t>
      </w:r>
    </w:p>
    <w:p w14:paraId="607CE78A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Wyświetlacz LCD nastawionych parametrów pracy z panelem kontrolnym umożliwiającym sterowanie funkcjami urządzenia takimi jak:  możliwość wyboru języka w tym j. polski, możliwość ustawienia daty, godziny, sterowanie światłem, sygnalizacja przypominająca o potrzebie wymiany filtra na nowy. Ekran o przekątnej 4,3” i klasie ochrony IP65</w:t>
      </w:r>
    </w:p>
    <w:p w14:paraId="32CB95E4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Magnetyczny uchwyt na narzędzia, </w:t>
      </w:r>
    </w:p>
    <w:p w14:paraId="47420FDD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lastRenderedPageBreak/>
        <w:t xml:space="preserve">Podajnik na rękawiczki, </w:t>
      </w:r>
    </w:p>
    <w:p w14:paraId="4C67686D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Podajnik na kasetki histopatologiczne, </w:t>
      </w:r>
    </w:p>
    <w:p w14:paraId="361E00F4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Wbudowane, regulowane (intensywność) oświetlenie przestrzeni roboczej typu LED,</w:t>
      </w:r>
    </w:p>
    <w:p w14:paraId="381764F0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Kran formalinowy z pompą elektromechaniczną załączany nożnie, </w:t>
      </w:r>
    </w:p>
    <w:p w14:paraId="74880BEC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4 gniazda zasilające do podłączenia dodatkowych akcesoriów, gniazdka znajdują się w górnej części stołów</w:t>
      </w:r>
    </w:p>
    <w:p w14:paraId="223E5A8B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Gniazdo LAN, </w:t>
      </w:r>
    </w:p>
    <w:p w14:paraId="01AE58AF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F14CD4">
        <w:rPr>
          <w:sz w:val="20"/>
          <w:szCs w:val="20"/>
        </w:rPr>
        <w:t>pryskiwacze pod blatem roboczym</w:t>
      </w:r>
    </w:p>
    <w:p w14:paraId="188CEFB1" w14:textId="1980821F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Wentylowany zlew wodny o standardowych wymiarach </w:t>
      </w:r>
    </w:p>
    <w:p w14:paraId="71D42308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Zlew wodny wyposażony w nakładane sitko, </w:t>
      </w:r>
    </w:p>
    <w:p w14:paraId="7250D08E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Elektroniczny dozownik formaliny obsługiwany za pomocą przycisków nożnych.  Czujnik poziomu cieczy dla obu zbiorników z formaliną (świeżą i brudną) - z dwoma wyświetlaczami pokazującymi rzeczywistą wagę pojemnika z formaliną, dwa alarmy dla niskiego/wysokiego poziomu wypełnienia zbiorników.</w:t>
      </w:r>
    </w:p>
    <w:p w14:paraId="215DD1F2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Wyświetlacze  zlokalizowane wewnątrz przestrzeni roboczej stołu</w:t>
      </w:r>
    </w:p>
    <w:p w14:paraId="274BFC38" w14:textId="77777777" w:rsidR="000B54C1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Elektroniczny system dozowania i odbioru zużytej formaliny współpracujący  z dowolnymi kanistrami dostępnymi na rynku w przedziale od  5-20L</w:t>
      </w:r>
    </w:p>
    <w:p w14:paraId="2917B8E0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Podłączenia: </w:t>
      </w:r>
    </w:p>
    <w:p w14:paraId="0E1C3CA0" w14:textId="77777777" w:rsidR="000B54C1" w:rsidRPr="00F14CD4" w:rsidRDefault="000B54C1" w:rsidP="000B54C1">
      <w:pPr>
        <w:pStyle w:val="Akapitzlist"/>
        <w:numPr>
          <w:ilvl w:val="0"/>
          <w:numId w:val="4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Podłączenie wod.-kan (wyprowadzenie ok. 40 cm od podłogi – woda) </w:t>
      </w:r>
    </w:p>
    <w:p w14:paraId="6C4E7208" w14:textId="77777777" w:rsidR="000B54C1" w:rsidRPr="00F14CD4" w:rsidRDefault="000B54C1" w:rsidP="000B54C1">
      <w:pPr>
        <w:pStyle w:val="Akapitzlist"/>
        <w:numPr>
          <w:ilvl w:val="0"/>
          <w:numId w:val="4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Zasilanie LAN z możliwością podłączenia do gniazda umieszczonego pod sufitem.  </w:t>
      </w:r>
    </w:p>
    <w:p w14:paraId="187987AF" w14:textId="77777777" w:rsidR="000B54C1" w:rsidRPr="00F14CD4" w:rsidRDefault="000B54C1" w:rsidP="000B54C1">
      <w:pPr>
        <w:pStyle w:val="Akapitzlist"/>
        <w:numPr>
          <w:ilvl w:val="0"/>
          <w:numId w:val="4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Przyłącze wentylacyjne o średnicy 250 mm na górnej części stołu</w:t>
      </w:r>
    </w:p>
    <w:p w14:paraId="0956F1E9" w14:textId="720C8EEA" w:rsidR="000B54C1" w:rsidRPr="00810778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 xml:space="preserve">Wbudowany młynek do rozdrabniania odpadów. </w:t>
      </w:r>
    </w:p>
    <w:p w14:paraId="76EF8B39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Wyjmowane pokrywy powierzchni wentylowanej</w:t>
      </w:r>
    </w:p>
    <w:p w14:paraId="5EBD100D" w14:textId="77777777" w:rsidR="000B54C1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sz w:val="20"/>
          <w:szCs w:val="20"/>
        </w:rPr>
        <w:t>Zasilanie elektryczne 230V/50 Hz.</w:t>
      </w:r>
    </w:p>
    <w:p w14:paraId="161DB6CA" w14:textId="77777777" w:rsidR="000B54C1" w:rsidRPr="00F14CD4" w:rsidRDefault="000B54C1" w:rsidP="000B54C1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sz w:val="20"/>
          <w:szCs w:val="20"/>
        </w:rPr>
      </w:pPr>
      <w:r w:rsidRPr="00F14CD4">
        <w:rPr>
          <w:rFonts w:eastAsia="Times New Roman"/>
          <w:sz w:val="20"/>
          <w:szCs w:val="20"/>
          <w:lang w:eastAsia="pl-PL"/>
        </w:rPr>
        <w:t xml:space="preserve">Instrukcja, deklaracja CE w j. polskim </w:t>
      </w:r>
    </w:p>
    <w:p w14:paraId="33171C6C" w14:textId="7B935207" w:rsidR="00D76DF6" w:rsidRPr="000B54C1" w:rsidRDefault="00D76DF6" w:rsidP="00D76DF6">
      <w:pPr>
        <w:pStyle w:val="Tekstpodstawowy"/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b/>
          <w:bCs/>
          <w:sz w:val="20"/>
          <w:szCs w:val="20"/>
        </w:rPr>
        <w:lastRenderedPageBreak/>
        <w:t>SPECYFIKACJA WYPOSAŻENIA STAŁEGO - ZAŁACZNIK 4B do PFU</w:t>
      </w:r>
    </w:p>
    <w:p w14:paraId="735F8FAA" w14:textId="62EE5F4C" w:rsidR="000B54C1" w:rsidRDefault="000B54C1" w:rsidP="00D76DF6">
      <w:pPr>
        <w:pStyle w:val="Tekstpodstawowy"/>
        <w:spacing w:after="0" w:line="360" w:lineRule="auto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Dygestorium (wyciąg chemiczny)</w:t>
      </w:r>
      <w:r w:rsidRPr="004C5E1B">
        <w:rPr>
          <w:i/>
          <w:iCs/>
          <w:sz w:val="20"/>
          <w:szCs w:val="20"/>
        </w:rPr>
        <w:t xml:space="preserve"> – </w:t>
      </w:r>
      <w:r>
        <w:rPr>
          <w:i/>
          <w:iCs/>
          <w:sz w:val="20"/>
          <w:szCs w:val="20"/>
        </w:rPr>
        <w:t>1</w:t>
      </w:r>
      <w:r w:rsidRPr="004C5E1B">
        <w:rPr>
          <w:i/>
          <w:iCs/>
          <w:sz w:val="20"/>
          <w:szCs w:val="20"/>
        </w:rPr>
        <w:t xml:space="preserve"> szt.</w:t>
      </w:r>
      <w:r>
        <w:rPr>
          <w:i/>
          <w:iCs/>
          <w:sz w:val="20"/>
          <w:szCs w:val="20"/>
        </w:rPr>
        <w:t xml:space="preserve"> </w:t>
      </w:r>
    </w:p>
    <w:p w14:paraId="2A3589A6" w14:textId="77777777" w:rsidR="00D76DF6" w:rsidRPr="004C5E1B" w:rsidRDefault="00D76DF6" w:rsidP="00D76DF6">
      <w:pPr>
        <w:pStyle w:val="Tekstpodstawowy"/>
        <w:spacing w:after="0" w:line="360" w:lineRule="auto"/>
        <w:jc w:val="both"/>
        <w:rPr>
          <w:i/>
          <w:iCs/>
          <w:sz w:val="20"/>
          <w:szCs w:val="20"/>
        </w:rPr>
      </w:pPr>
    </w:p>
    <w:p w14:paraId="34177162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wymiary zewnętrzne (szer. x wys. x gł. mm): 1200 x2200x 900 mm, wysokość przedniej części od podłoża min 2500 mm – max 2550 mm, wysokość tylnej części i króćca wentylacyjnego (średnica króćca 250 mm) od podłoża: min 2250 mm – max 2300 mm.</w:t>
      </w:r>
    </w:p>
    <w:p w14:paraId="0265836A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spacing w:after="16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 xml:space="preserve">wymiary wewnętrze/użytkowe nie mniejsze niż (szer. x wys. x gł. (mierzona od wewnętrznej strony okna do pleców komory roboczej) mm): 1195x 1500 x 800 mm </w:t>
      </w:r>
    </w:p>
    <w:p w14:paraId="0B6F1F93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spacing w:after="16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wysokość blatu: 900 mm, głębokość płaskiej powierzchni blatu (pomiędzy przednią i tylną krawędzią podniesioną) min 750 mm.</w:t>
      </w:r>
    </w:p>
    <w:p w14:paraId="411B085F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spacing w:after="16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szerokość światła okna minimum: 1196 mm; okno ruchome o wysokości minimum 850 mm, możliwość otworzenia okna do wysokości 900 mm. od powierzchni blatu, przeszklenie okna szybą ze szkła bezpiecznego VSG (wielowarstwowego laminowanego: szkło-folia-szkło) o grubości minimum 6 mm. Wymaga się, aby szyba dolna była wykonana z jednego kawałka szkła bezpiecznego. Nad oknem ruchomym dodatkowe okno o wysokości min 200 mm.</w:t>
      </w:r>
    </w:p>
    <w:p w14:paraId="451CF74C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spacing w:after="16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 xml:space="preserve">wykonane w całości z blachy stalowej ocynkowanej, pokrytej dwustronnie proszkową farbą poliuretanową w kolorze białym, do oferty należy dołączyć certyfikaty lub protokoły/sprawozdania z badań wydane przez niezależne akredytowane jednostki badawcze, potwierdzające badania jakości zastosowanej farby poliuretanowej:  </w:t>
      </w:r>
    </w:p>
    <w:p w14:paraId="5E76756B" w14:textId="77777777" w:rsidR="000B54C1" w:rsidRPr="00A50E12" w:rsidRDefault="000B54C1" w:rsidP="000B54C1">
      <w:pPr>
        <w:pStyle w:val="Akapitzlist"/>
        <w:numPr>
          <w:ilvl w:val="1"/>
          <w:numId w:val="2"/>
        </w:numPr>
        <w:spacing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ściany komory pracy wykonane ze stali nierdzewnej.</w:t>
      </w:r>
    </w:p>
    <w:p w14:paraId="0183746D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spacing w:after="16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okno z napędem manualnym podnoszone za pomocą przeciwciężaru i sytemu dwóch niezależnych linek kwasoodpornych w oplocie chemoodpornym; przeciwciężar okna i wszystkie elementy układu podnoszenia okna (linki, przeciwwaga, bloczki i rolki) muszą być umieszczone wyłącznie w przednim panelu dygestorium (ponad otworem okiennym) lub w kolumnach z boków okna. Odległość przeciwciężaru okna od przedniej płaszczyzny dygestorium nie więcej niż 100 mm. Wyklucza się prowadzenie linek wewnątrz komory roboczej.</w:t>
      </w:r>
    </w:p>
    <w:p w14:paraId="2B1628F4" w14:textId="3FBEC08C" w:rsidR="000B54C1" w:rsidRPr="003C7FEA" w:rsidRDefault="000B54C1" w:rsidP="000B54C1">
      <w:pPr>
        <w:pStyle w:val="Akapitzlist"/>
        <w:numPr>
          <w:ilvl w:val="0"/>
          <w:numId w:val="2"/>
        </w:numPr>
        <w:suppressAutoHyphens w:val="0"/>
        <w:spacing w:after="160" w:line="360" w:lineRule="auto"/>
        <w:jc w:val="both"/>
        <w:rPr>
          <w:rFonts w:eastAsia="Times New Roman" w:cs="Calibri"/>
          <w:strike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 xml:space="preserve">blat </w:t>
      </w:r>
      <w:r w:rsidR="003C7FEA" w:rsidRPr="00A50E12">
        <w:rPr>
          <w:rFonts w:eastAsia="Times New Roman" w:cs="Calibri"/>
          <w:sz w:val="20"/>
          <w:szCs w:val="20"/>
          <w:lang w:eastAsia="pl-PL"/>
        </w:rPr>
        <w:t xml:space="preserve">ze zlewikiem chemicznym </w:t>
      </w:r>
    </w:p>
    <w:p w14:paraId="0C2DEAB1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spacing w:after="16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wyposażony w następujące media umieszczone w wymiennych (montowanych zatrzaskowo)  panelach z boków okna:</w:t>
      </w:r>
    </w:p>
    <w:p w14:paraId="54789A18" w14:textId="77777777" w:rsidR="003C7FEA" w:rsidRDefault="000B54C1" w:rsidP="003C7FEA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1 x zimna woda (zawór na prawej kolumnie instalacyjnej z boku okna, wylewka w prawej części komory roboczej, wystająca z bocznej ściany nie dalej niż 40 cm od frontu);</w:t>
      </w:r>
    </w:p>
    <w:p w14:paraId="57CFF5F7" w14:textId="31BC68E8" w:rsidR="000B54C1" w:rsidRPr="003C7FEA" w:rsidRDefault="000B54C1" w:rsidP="003C7FEA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C7FEA">
        <w:rPr>
          <w:rFonts w:eastAsia="Times New Roman" w:cs="Calibri"/>
          <w:sz w:val="20"/>
          <w:szCs w:val="20"/>
          <w:lang w:eastAsia="pl-PL"/>
        </w:rPr>
        <w:t xml:space="preserve">1 x panel z 2 gniazdami elektrycznymi 230V IP 44 (na lewej kolumnie), stalowy, montowany w kolumnie zatrzaskowo, wyposażony w tylną obudowę i własne oznakowanie CE, gniazda połączone z instalacją dygestorium za pomocą wtyczek typu GST; klapki gniazdek elektrycznych muszą posiadać miejsce do zamontowania opisu gniazdka, przykryte przeźroczystym tworzywem z możliwością łatwego demontażu przykrycia w celu wymiany opisu. Klapki  wypukłe, faktura połysk, kolor biały, gniazda elektryczne wyposażone w bolec, minimalny wymiar klapki gniazdka 65 x 65 mm, </w:t>
      </w:r>
    </w:p>
    <w:p w14:paraId="601BF92B" w14:textId="13ED8172" w:rsidR="000B54C1" w:rsidRPr="003C7FEA" w:rsidRDefault="000B54C1" w:rsidP="000B54C1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strike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lastRenderedPageBreak/>
        <w:t xml:space="preserve">lampa oświetlająca komorę roboczą, </w:t>
      </w:r>
    </w:p>
    <w:p w14:paraId="2C32CACD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panel sterujący oraz monitorujący dygestorium: monitoring przepływu powietrza (alarmy: za wysoki, za niski przepływ powietrza, awaria), wyświetlacz wartości przepływu powietrza i kodów błędów; na panelu co najmniej 3 przyciski: włączenie dygestorium, sterowanie oświetleniem, wyciszenie alarmu</w:t>
      </w:r>
    </w:p>
    <w:p w14:paraId="339AEEB1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mechaniczna blokada okna z możliwością zmiany jej wysokości;</w:t>
      </w:r>
    </w:p>
    <w:p w14:paraId="59C3DC6F" w14:textId="77777777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wyposażenie pod blatem dygestorium:</w:t>
      </w:r>
    </w:p>
    <w:p w14:paraId="49EC69E3" w14:textId="27105662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spacing w:after="16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 xml:space="preserve">1 x szafka na odczynniki chemiczne nieagresywne </w:t>
      </w:r>
    </w:p>
    <w:p w14:paraId="0DA701F5" w14:textId="38CEC50B" w:rsidR="000B54C1" w:rsidRPr="00A50E12" w:rsidRDefault="000B54C1" w:rsidP="000B54C1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50E12">
        <w:rPr>
          <w:rFonts w:eastAsia="Times New Roman" w:cs="Calibri"/>
          <w:sz w:val="20"/>
          <w:szCs w:val="20"/>
          <w:lang w:eastAsia="pl-PL"/>
        </w:rPr>
        <w:t>1 x listwa podblatowa z szufladą - szuflada ze stali ocynkowanej, na prowadnicach rolkowych z synchronizacją, samohamowaniem i dociągiem, prowadnice schowane w podwójnych bokach szuflady; ze zdejmowaną przeźroczystą nakładką z tworzywa sztucznego, pod która można włożyć fiszkę z opisem zawartości szuflady.</w:t>
      </w:r>
    </w:p>
    <w:p w14:paraId="5B02DB56" w14:textId="77777777" w:rsidR="000B54C1" w:rsidRDefault="000B54C1" w:rsidP="000B54C1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BF2016">
        <w:rPr>
          <w:rFonts w:eastAsia="Times New Roman"/>
          <w:kern w:val="0"/>
          <w:sz w:val="20"/>
          <w:szCs w:val="20"/>
          <w:lang w:eastAsia="pl-PL"/>
        </w:rPr>
        <w:t xml:space="preserve">instrukcja, deklaracja CE w j. polskim </w:t>
      </w:r>
    </w:p>
    <w:p w14:paraId="17A54916" w14:textId="77777777" w:rsidR="000B54C1" w:rsidRPr="00BF2016" w:rsidRDefault="000B54C1" w:rsidP="000B54C1">
      <w:pPr>
        <w:pStyle w:val="Tekstpodstawowy"/>
        <w:spacing w:after="0"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3AF19879" w14:textId="77777777" w:rsidR="000B54C1" w:rsidRDefault="000B54C1" w:rsidP="000B54C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budynku w części laboratoryjnej i magazynowej należy wykonać dodatkowe odciągi dla urządzeń technologicznych oraz szaf wentylowanych. </w:t>
      </w:r>
    </w:p>
    <w:p w14:paraId="61733EBC" w14:textId="77777777" w:rsidR="000B54C1" w:rsidRPr="00680819" w:rsidRDefault="000B54C1" w:rsidP="000B54C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magazynach odczynników należy wykonać instalację prysznicy ratunkowych z oczomyjkami. </w:t>
      </w:r>
    </w:p>
    <w:p w14:paraId="1D3A97E7" w14:textId="77777777" w:rsidR="000B54C1" w:rsidRPr="00A179D0" w:rsidRDefault="000B54C1" w:rsidP="000B54C1">
      <w:pPr>
        <w:pStyle w:val="Bezodstpw"/>
        <w:spacing w:line="360" w:lineRule="auto"/>
        <w:jc w:val="both"/>
        <w:rPr>
          <w:rFonts w:cs="Calibri"/>
          <w:b/>
          <w:bCs/>
          <w:sz w:val="20"/>
          <w:szCs w:val="20"/>
        </w:rPr>
      </w:pPr>
    </w:p>
    <w:p w14:paraId="6F7D8C19" w14:textId="6DCAD713" w:rsidR="00736C52" w:rsidRDefault="00736C52" w:rsidP="000B54C1"/>
    <w:sectPr w:rsidR="00736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C6268"/>
    <w:multiLevelType w:val="multilevel"/>
    <w:tmpl w:val="D7A0C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4017A0"/>
    <w:multiLevelType w:val="hybridMultilevel"/>
    <w:tmpl w:val="97ECE210"/>
    <w:lvl w:ilvl="0" w:tplc="3E186F3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93B4C9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2E87"/>
    <w:multiLevelType w:val="hybridMultilevel"/>
    <w:tmpl w:val="45E4A616"/>
    <w:lvl w:ilvl="0" w:tplc="16704C3E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2686A"/>
    <w:multiLevelType w:val="hybridMultilevel"/>
    <w:tmpl w:val="E5FA444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3492864">
    <w:abstractNumId w:val="0"/>
  </w:num>
  <w:num w:numId="2" w16cid:durableId="711080346">
    <w:abstractNumId w:val="1"/>
  </w:num>
  <w:num w:numId="3" w16cid:durableId="691995882">
    <w:abstractNumId w:val="2"/>
  </w:num>
  <w:num w:numId="4" w16cid:durableId="458114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4C1"/>
    <w:rsid w:val="000B54C1"/>
    <w:rsid w:val="000E3DD7"/>
    <w:rsid w:val="000F2F69"/>
    <w:rsid w:val="00121903"/>
    <w:rsid w:val="003C7FEA"/>
    <w:rsid w:val="005B1D2B"/>
    <w:rsid w:val="00736C52"/>
    <w:rsid w:val="007A1C71"/>
    <w:rsid w:val="00810778"/>
    <w:rsid w:val="00897580"/>
    <w:rsid w:val="00D76DF6"/>
    <w:rsid w:val="00FB609E"/>
    <w:rsid w:val="00FD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1F204"/>
  <w15:chartTrackingRefBased/>
  <w15:docId w15:val="{931C81EE-3D5E-4B40-B441-9646FF9B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4C1"/>
    <w:pPr>
      <w:suppressAutoHyphens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4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54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54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54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54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54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54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54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54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54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54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54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54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54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54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54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54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54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54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54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54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54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54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54C1"/>
    <w:rPr>
      <w:i/>
      <w:iCs/>
      <w:color w:val="404040" w:themeColor="text1" w:themeTint="BF"/>
    </w:rPr>
  </w:style>
  <w:style w:type="paragraph" w:styleId="Akapitzlist">
    <w:name w:val="List Paragraph"/>
    <w:aliases w:val="BulletC,Numerowanie,Lista - poziom 1,Wypunktowanie,Obiekt,List Paragraph1,liniuta_2,normalny tekst,Akapit z listą31,test ciągły,Poziom2,Akapit z nr,wypunktowanie,Nag 1,L1,List Paragraph,Akapit z listą5,CW_Lista,Odstavec,Podsis rysunku,lp1"/>
    <w:basedOn w:val="Normalny"/>
    <w:link w:val="AkapitzlistZnak"/>
    <w:uiPriority w:val="34"/>
    <w:qFormat/>
    <w:rsid w:val="000B54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54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54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54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54C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0B54C1"/>
    <w:pPr>
      <w:spacing w:after="120" w:line="240" w:lineRule="auto"/>
    </w:pPr>
    <w:rPr>
      <w:rFonts w:cs="Calibri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0B54C1"/>
    <w:rPr>
      <w:rFonts w:ascii="Calibri" w:eastAsia="Calibri" w:hAnsi="Calibri" w:cs="Calibri"/>
      <w:kern w:val="1"/>
      <w:sz w:val="22"/>
      <w:szCs w:val="22"/>
      <w:lang w:eastAsia="zh-CN"/>
      <w14:ligatures w14:val="none"/>
    </w:rPr>
  </w:style>
  <w:style w:type="paragraph" w:styleId="Bezodstpw">
    <w:name w:val="No Spacing"/>
    <w:qFormat/>
    <w:rsid w:val="000B54C1"/>
    <w:pPr>
      <w:suppressAutoHyphens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character" w:customStyle="1" w:styleId="AkapitzlistZnak">
    <w:name w:val="Akapit z listą Znak"/>
    <w:aliases w:val="BulletC Znak,Numerowanie Znak,Lista - poziom 1 Znak,Wypunktowanie Znak,Obiekt Znak,List Paragraph1 Znak,liniuta_2 Znak,normalny tekst Znak,Akapit z listą31 Znak,test ciągły Znak,Poziom2 Znak,Akapit z nr Znak,wypunktowanie Znak"/>
    <w:link w:val="Akapitzlist"/>
    <w:uiPriority w:val="34"/>
    <w:qFormat/>
    <w:locked/>
    <w:rsid w:val="000B5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zlotkowski</dc:creator>
  <cp:keywords/>
  <dc:description/>
  <cp:lastModifiedBy>Banaszak Jacek</cp:lastModifiedBy>
  <cp:revision>4</cp:revision>
  <dcterms:created xsi:type="dcterms:W3CDTF">2025-04-04T08:30:00Z</dcterms:created>
  <dcterms:modified xsi:type="dcterms:W3CDTF">2025-04-04T08:57:00Z</dcterms:modified>
</cp:coreProperties>
</file>