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5C63D" w14:textId="77777777" w:rsidR="003D4C94" w:rsidRPr="00581178" w:rsidRDefault="003D4C94" w:rsidP="003D4C94">
      <w:pPr>
        <w:suppressAutoHyphens/>
        <w:spacing w:before="360" w:line="240" w:lineRule="auto"/>
        <w:ind w:right="-142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>OŚWIADCZENIE WYKONAWCY</w:t>
      </w:r>
    </w:p>
    <w:p w14:paraId="5C92E21B" w14:textId="77777777" w:rsidR="003D4C94" w:rsidRPr="00581178" w:rsidRDefault="003D4C94" w:rsidP="003D4C94">
      <w:pPr>
        <w:suppressAutoHyphens/>
        <w:spacing w:line="240" w:lineRule="auto"/>
        <w:ind w:right="-143"/>
        <w:jc w:val="center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 xml:space="preserve">potwierdzające aktualność informacji zawartych w oświadczeniu wstępnym, o którym mowa </w:t>
      </w:r>
    </w:p>
    <w:p w14:paraId="09F91EBF" w14:textId="77777777" w:rsidR="003D4C94" w:rsidRPr="00581178" w:rsidRDefault="003D4C94" w:rsidP="003D4C94">
      <w:pPr>
        <w:suppressAutoHyphens/>
        <w:spacing w:after="360" w:line="240" w:lineRule="auto"/>
        <w:ind w:right="-142"/>
        <w:jc w:val="center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 xml:space="preserve">w art. 125 ust. 1 </w:t>
      </w:r>
      <w:proofErr w:type="spellStart"/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u.p.z.p</w:t>
      </w:r>
      <w:proofErr w:type="spellEnd"/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9"/>
        <w:gridCol w:w="5353"/>
        <w:gridCol w:w="2510"/>
      </w:tblGrid>
      <w:tr w:rsidR="003D4C94" w:rsidRPr="00CD296D" w14:paraId="66EF6C86" w14:textId="77777777" w:rsidTr="00ED0B48">
        <w:trPr>
          <w:trHeight w:val="567"/>
        </w:trPr>
        <w:tc>
          <w:tcPr>
            <w:tcW w:w="1209" w:type="dxa"/>
            <w:shd w:val="clear" w:color="auto" w:fill="auto"/>
            <w:vAlign w:val="center"/>
          </w:tcPr>
          <w:p w14:paraId="3ED7D2FE" w14:textId="77777777" w:rsidR="003D4C94" w:rsidRPr="00CD296D" w:rsidRDefault="003D4C94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63" w:type="dxa"/>
            <w:gridSpan w:val="2"/>
            <w:shd w:val="clear" w:color="auto" w:fill="auto"/>
            <w:vAlign w:val="center"/>
          </w:tcPr>
          <w:p w14:paraId="78C63515" w14:textId="77777777" w:rsidR="003D4C94" w:rsidRPr="00CD296D" w:rsidRDefault="003D4C94" w:rsidP="00ED0B48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CD296D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CD296D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3D4C94" w:rsidRPr="00CD296D" w14:paraId="07ADDF11" w14:textId="77777777" w:rsidTr="00ED0B48">
        <w:trPr>
          <w:trHeight w:val="340"/>
        </w:trPr>
        <w:tc>
          <w:tcPr>
            <w:tcW w:w="6562" w:type="dxa"/>
            <w:gridSpan w:val="2"/>
            <w:shd w:val="clear" w:color="auto" w:fill="auto"/>
            <w:vAlign w:val="center"/>
          </w:tcPr>
          <w:p w14:paraId="0A23414D" w14:textId="77777777" w:rsidR="003D4C94" w:rsidRPr="00CD296D" w:rsidRDefault="003D4C94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058CDAAD" w14:textId="77777777" w:rsidR="003D4C94" w:rsidRPr="00CD296D" w:rsidRDefault="003D4C94" w:rsidP="00ED0B48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MZDiM-P.271.3.2025</w:t>
            </w:r>
          </w:p>
        </w:tc>
      </w:tr>
    </w:tbl>
    <w:p w14:paraId="4008F813" w14:textId="77777777" w:rsidR="003D4C94" w:rsidRPr="00CD296D" w:rsidRDefault="003D4C94" w:rsidP="003D4C94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right="-142"/>
        <w:contextualSpacing w:val="0"/>
        <w:rPr>
          <w:b/>
          <w:bCs/>
          <w:sz w:val="20"/>
          <w:szCs w:val="20"/>
        </w:rPr>
      </w:pPr>
      <w:r w:rsidRPr="00CD296D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ZAMAWIAJĄCY</w:t>
      </w:r>
      <w:r w:rsidRPr="00CD296D">
        <w:rPr>
          <w:b/>
          <w:bCs/>
          <w:sz w:val="20"/>
          <w:szCs w:val="20"/>
        </w:rPr>
        <w:t>: Miejski Zarząd Dróg i Mostów ul. Ptasia 2a, 58-500 Jelenia Góra</w:t>
      </w:r>
    </w:p>
    <w:p w14:paraId="3321D934" w14:textId="77777777" w:rsidR="003D4C94" w:rsidRPr="00581178" w:rsidRDefault="003D4C94" w:rsidP="003D4C94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right="-142"/>
        <w:contextualSpacing w:val="0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WYKONAWCA:</w:t>
      </w:r>
    </w:p>
    <w:tbl>
      <w:tblPr>
        <w:tblW w:w="9071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3963"/>
      </w:tblGrid>
      <w:tr w:rsidR="003D4C94" w:rsidRPr="00581178" w14:paraId="7D7FA407" w14:textId="77777777" w:rsidTr="003D4C94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49673BD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AE2D6F4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396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B5D1872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3D4C94" w:rsidRPr="00581178" w14:paraId="63B93EC9" w14:textId="77777777" w:rsidTr="003D4C94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4C49FD9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63512B0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5D1AAF05" w14:textId="77777777" w:rsidR="003D4C94" w:rsidRPr="00581178" w:rsidRDefault="003D4C94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6CA8E4E4" w14:textId="77777777" w:rsidR="003D4C94" w:rsidRPr="00581178" w:rsidRDefault="003D4C94" w:rsidP="003D4C94">
      <w:pPr>
        <w:suppressAutoHyphens/>
        <w:spacing w:before="360" w:after="360" w:line="240" w:lineRule="auto"/>
        <w:ind w:right="-142"/>
        <w:jc w:val="center"/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  <w:t>OŚWIADCZAM, ŻE:</w:t>
      </w:r>
    </w:p>
    <w:p w14:paraId="1590898A" w14:textId="77777777" w:rsidR="003D4C94" w:rsidRPr="00581178" w:rsidRDefault="003D4C94" w:rsidP="003D4C94">
      <w:pPr>
        <w:suppressAutoHyphens/>
        <w:spacing w:line="240" w:lineRule="auto"/>
        <w:ind w:right="-143"/>
        <w:jc w:val="both"/>
        <w:rPr>
          <w:rFonts w:eastAsia="Courier New" w:cs="Calibri"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 xml:space="preserve">potwierdzam aktualność informacji zawartych w oświadczeniu wstępnym złożonym w niniejszym postępowaniu o udzielenie zamówienia publicznego, na podstawie w art. 125 ust. 1 </w:t>
      </w:r>
      <w:proofErr w:type="spellStart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u.p.z.p</w:t>
      </w:r>
      <w:proofErr w:type="spellEnd"/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>, w zakresie braku podstaw wykluczenia z postępowania na podstawie:</w:t>
      </w:r>
    </w:p>
    <w:p w14:paraId="64F932AC" w14:textId="77777777" w:rsidR="003D4C94" w:rsidRPr="00581178" w:rsidRDefault="003D4C94" w:rsidP="003D4C94">
      <w:pPr>
        <w:numPr>
          <w:ilvl w:val="0"/>
          <w:numId w:val="2"/>
        </w:numPr>
        <w:suppressAutoHyphens/>
        <w:spacing w:line="240" w:lineRule="auto"/>
        <w:ind w:left="284" w:right="-143" w:hanging="284"/>
        <w:jc w:val="both"/>
        <w:rPr>
          <w:rFonts w:eastAsia="Courier New" w:cs="Calibri"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 xml:space="preserve">art. 108 ust. 1 </w:t>
      </w:r>
      <w:proofErr w:type="spellStart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u.p.z.p</w:t>
      </w:r>
      <w:proofErr w:type="spellEnd"/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>.,</w:t>
      </w:r>
    </w:p>
    <w:p w14:paraId="4719CB86" w14:textId="77777777" w:rsidR="003D4C94" w:rsidRPr="00581178" w:rsidRDefault="003D4C94" w:rsidP="003D4C94">
      <w:pPr>
        <w:numPr>
          <w:ilvl w:val="0"/>
          <w:numId w:val="2"/>
        </w:numPr>
        <w:suppressAutoHyphens/>
        <w:spacing w:line="240" w:lineRule="auto"/>
        <w:ind w:left="284" w:right="-143" w:hanging="284"/>
        <w:jc w:val="both"/>
        <w:rPr>
          <w:rFonts w:eastAsia="Courier New" w:cs="Calibri"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 xml:space="preserve">art. 109 ust. 1 pkt 4 </w:t>
      </w:r>
      <w:proofErr w:type="spellStart"/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u.p.z.p</w:t>
      </w:r>
      <w:proofErr w:type="spellEnd"/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>.,</w:t>
      </w:r>
    </w:p>
    <w:p w14:paraId="43A1A1C1" w14:textId="77777777" w:rsidR="003D4C94" w:rsidRPr="00581178" w:rsidRDefault="003D4C94" w:rsidP="003D4C94">
      <w:pPr>
        <w:numPr>
          <w:ilvl w:val="0"/>
          <w:numId w:val="2"/>
        </w:numPr>
        <w:suppressAutoHyphens/>
        <w:spacing w:line="240" w:lineRule="auto"/>
        <w:ind w:left="284" w:right="-143" w:hanging="284"/>
        <w:jc w:val="both"/>
        <w:rPr>
          <w:rFonts w:eastAsia="Courier New" w:cs="Calibri"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>art. 5k rozporządzenia Rady (UE) 2022/576 z dnia 8 kwietnia 2022r. w sprawie zmiany rozporządzenia (UE) nr 833/2014 dotyczącego środków ograniczających w związku z działaniami Rosji destabilizującymi sytuacje na Ukrainie,</w:t>
      </w:r>
    </w:p>
    <w:p w14:paraId="2AC74D4B" w14:textId="77777777" w:rsidR="003D4C94" w:rsidRPr="00581178" w:rsidRDefault="003D4C94" w:rsidP="003D4C94">
      <w:pPr>
        <w:numPr>
          <w:ilvl w:val="0"/>
          <w:numId w:val="2"/>
        </w:numPr>
        <w:suppressAutoHyphens/>
        <w:spacing w:line="240" w:lineRule="auto"/>
        <w:ind w:left="284" w:right="-143" w:hanging="284"/>
        <w:jc w:val="both"/>
        <w:rPr>
          <w:rFonts w:eastAsia="Courier New" w:cs="Calibri"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iCs/>
          <w:kern w:val="1"/>
          <w:sz w:val="20"/>
          <w:lang w:eastAsia="zh-CN" w:bidi="hi-IN"/>
          <w14:ligatures w14:val="none"/>
        </w:rPr>
        <w:t>art. 7 ust. 1 „ustawy o przeciwdziałaniu”</w:t>
      </w:r>
    </w:p>
    <w:p w14:paraId="3583BF7F" w14:textId="77777777" w:rsidR="00317ADB" w:rsidRPr="00581178" w:rsidRDefault="00317ADB" w:rsidP="00317ADB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3FE89EB8" w14:textId="69C11625" w:rsidR="008A4344" w:rsidRPr="00317ADB" w:rsidRDefault="00317ADB" w:rsidP="00317ADB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</w:p>
    <w:sectPr w:rsidR="008A4344" w:rsidRPr="00317A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25B9C" w14:textId="77777777" w:rsidR="003D4C94" w:rsidRDefault="003D4C94" w:rsidP="003D4C94">
      <w:pPr>
        <w:spacing w:line="240" w:lineRule="auto"/>
      </w:pPr>
      <w:r>
        <w:separator/>
      </w:r>
    </w:p>
  </w:endnote>
  <w:endnote w:type="continuationSeparator" w:id="0">
    <w:p w14:paraId="2ACBBE15" w14:textId="77777777" w:rsidR="003D4C94" w:rsidRDefault="003D4C94" w:rsidP="003D4C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F8BBC" w14:textId="77777777" w:rsidR="003D4C94" w:rsidRDefault="003D4C94" w:rsidP="003D4C94">
      <w:pPr>
        <w:spacing w:line="240" w:lineRule="auto"/>
      </w:pPr>
      <w:r>
        <w:separator/>
      </w:r>
    </w:p>
  </w:footnote>
  <w:footnote w:type="continuationSeparator" w:id="0">
    <w:p w14:paraId="62896FC1" w14:textId="77777777" w:rsidR="003D4C94" w:rsidRDefault="003D4C94" w:rsidP="003D4C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119B" w14:textId="731B0098" w:rsidR="003D4C94" w:rsidRPr="009C65E2" w:rsidRDefault="003D4C94" w:rsidP="003D4C94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>4</w:t>
    </w: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 DO </w:t>
    </w:r>
  </w:p>
  <w:p w14:paraId="43541FD9" w14:textId="1BE1AA23" w:rsidR="003D4C94" w:rsidRDefault="003D4C94" w:rsidP="003D4C94">
    <w:pPr>
      <w:pStyle w:val="Nagwek"/>
      <w:jc w:val="right"/>
    </w:pPr>
    <w:r w:rsidRPr="009C65E2">
      <w:rPr>
        <w:rFonts w:cs="Calibri"/>
        <w:i/>
        <w:sz w:val="20"/>
        <w:szCs w:val="20"/>
      </w:rPr>
      <w:t>TOM I SWZ - INSTRUKCJA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E636A"/>
    <w:multiLevelType w:val="hybridMultilevel"/>
    <w:tmpl w:val="CC36C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C96932"/>
    <w:multiLevelType w:val="hybridMultilevel"/>
    <w:tmpl w:val="012EBC54"/>
    <w:name w:val="WW8Num10722"/>
    <w:lvl w:ilvl="0" w:tplc="4732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338349">
    <w:abstractNumId w:val="0"/>
  </w:num>
  <w:num w:numId="2" w16cid:durableId="1766684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94"/>
    <w:rsid w:val="00317ADB"/>
    <w:rsid w:val="003D4C94"/>
    <w:rsid w:val="00485847"/>
    <w:rsid w:val="008A4344"/>
    <w:rsid w:val="009612AB"/>
    <w:rsid w:val="00C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DAFB"/>
  <w15:chartTrackingRefBased/>
  <w15:docId w15:val="{6FC58527-F5A2-4F94-9E59-F0BDBC78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C94"/>
  </w:style>
  <w:style w:type="paragraph" w:styleId="Nagwek1">
    <w:name w:val="heading 1"/>
    <w:basedOn w:val="Normalny"/>
    <w:next w:val="Normalny"/>
    <w:link w:val="Nagwek1Znak"/>
    <w:uiPriority w:val="9"/>
    <w:qFormat/>
    <w:rsid w:val="003D4C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4C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4C9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4C9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4C9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C9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C9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4C9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4C9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4C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4C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4C9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4C9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4C9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C9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C9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4C9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4C9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4C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4C9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4C9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4C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4C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4C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4C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4C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4C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4C9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D4C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C94"/>
  </w:style>
  <w:style w:type="paragraph" w:styleId="Stopka">
    <w:name w:val="footer"/>
    <w:basedOn w:val="Normalny"/>
    <w:link w:val="StopkaZnak"/>
    <w:uiPriority w:val="99"/>
    <w:unhideWhenUsed/>
    <w:rsid w:val="003D4C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2</cp:revision>
  <dcterms:created xsi:type="dcterms:W3CDTF">2025-02-21T09:52:00Z</dcterms:created>
  <dcterms:modified xsi:type="dcterms:W3CDTF">2025-02-21T09:57:00Z</dcterms:modified>
</cp:coreProperties>
</file>