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CD" w:rsidRDefault="00AB3D0E">
      <w:pPr>
        <w:rPr>
          <w:rFonts w:ascii="Times New Roman" w:hAnsi="Times New Roman" w:cs="Times New Roman"/>
          <w:b/>
          <w:sz w:val="28"/>
          <w:szCs w:val="28"/>
        </w:rPr>
      </w:pPr>
      <w:r w:rsidRPr="00AB3D0E">
        <w:rPr>
          <w:rFonts w:ascii="Times New Roman" w:hAnsi="Times New Roman" w:cs="Times New Roman"/>
          <w:b/>
          <w:sz w:val="28"/>
          <w:szCs w:val="28"/>
        </w:rPr>
        <w:t xml:space="preserve">Przedmiot zamówienia: Analizator do szybkiego </w:t>
      </w:r>
      <w:proofErr w:type="spellStart"/>
      <w:r w:rsidRPr="00AB3D0E">
        <w:rPr>
          <w:rFonts w:ascii="Times New Roman" w:hAnsi="Times New Roman" w:cs="Times New Roman"/>
          <w:b/>
          <w:sz w:val="28"/>
          <w:szCs w:val="28"/>
        </w:rPr>
        <w:t>oznacznia</w:t>
      </w:r>
      <w:proofErr w:type="spellEnd"/>
      <w:r w:rsidRPr="00AB3D0E">
        <w:rPr>
          <w:rFonts w:ascii="Times New Roman" w:hAnsi="Times New Roman" w:cs="Times New Roman"/>
          <w:b/>
          <w:sz w:val="28"/>
          <w:szCs w:val="28"/>
        </w:rPr>
        <w:t xml:space="preserve"> INR</w:t>
      </w:r>
    </w:p>
    <w:p w:rsidR="00AB3D0E" w:rsidRPr="00AB3D0E" w:rsidRDefault="00AB3D0E" w:rsidP="00AB3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D0E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AB3D0E" w:rsidRPr="00AB3D0E" w:rsidRDefault="00AB3D0E" w:rsidP="00AB3D0E">
      <w:pPr>
        <w:spacing w:after="0" w:line="240" w:lineRule="auto"/>
        <w:rPr>
          <w:sz w:val="24"/>
          <w:szCs w:val="24"/>
        </w:rPr>
      </w:pPr>
      <w:r w:rsidRPr="00AB3D0E">
        <w:rPr>
          <w:rFonts w:ascii="Calibri" w:hAnsi="Calibri" w:cs="Calibri"/>
          <w:color w:val="000000"/>
          <w:sz w:val="24"/>
          <w:szCs w:val="24"/>
        </w:rPr>
        <w:t xml:space="preserve">Analizator wykonujący oznaczenie czasu </w:t>
      </w:r>
      <w:proofErr w:type="spellStart"/>
      <w:r w:rsidRPr="00AB3D0E">
        <w:rPr>
          <w:rFonts w:ascii="Calibri" w:hAnsi="Calibri" w:cs="Calibri"/>
          <w:color w:val="000000"/>
          <w:sz w:val="24"/>
          <w:szCs w:val="24"/>
        </w:rPr>
        <w:t>protrombinowego</w:t>
      </w:r>
      <w:proofErr w:type="spellEnd"/>
      <w:r w:rsidRPr="00AB3D0E">
        <w:rPr>
          <w:rFonts w:ascii="Calibri" w:hAnsi="Calibri" w:cs="Calibri"/>
          <w:color w:val="000000"/>
          <w:sz w:val="24"/>
          <w:szCs w:val="24"/>
        </w:rPr>
        <w:t xml:space="preserve"> z krwi włośniczkowej lub krwi pełnej żylnej bez dodatku antykoagulantu. Mała objętość próbki 8ul. Aparat w pełni przenośny, z bateriami, wyposażony w dotykowy ekran z graficznymi ikonami. Zasilanie sieciowe i bateryjne wystarczające na wykonanie 80 pomiarów. Aparat z zintegrowanym interfejsem podczerwieni, z możliwością podłączenia do komputera. Krótki czas oczekiwania na wynik – nie dłuższy niż 60 sek. Pamięć do 1000 wyników pacjentów i 500 wyników kontroli z datą i godziną. Pomiarowy INR 0,8 – 8,0; SEC 9,9 – 96, %Q 120-5. Paski do testów jednorazowych czułości ISI=1 i nie wymagające przechowywania w lodówce. Testy paskowe z wbudowanym systemem kontroli jakości.</w:t>
      </w:r>
    </w:p>
    <w:sectPr w:rsidR="00AB3D0E" w:rsidRPr="00AB3D0E" w:rsidSect="00E9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D0E"/>
    <w:rsid w:val="00AB3D0E"/>
    <w:rsid w:val="00E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1</cp:revision>
  <dcterms:created xsi:type="dcterms:W3CDTF">2023-08-28T07:31:00Z</dcterms:created>
  <dcterms:modified xsi:type="dcterms:W3CDTF">2023-08-28T07:38:00Z</dcterms:modified>
</cp:coreProperties>
</file>