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D15583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D1558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324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2D34B0" w:rsidRDefault="002D34B0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D15583" w:rsidRPr="00D15583" w:rsidRDefault="00D15583" w:rsidP="00D15583">
            <w:pPr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D1558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Wykonywanie awaryjnych i bieżących remontów: konstrukcji budowlanych, instalacji wodno- kanalizacyjnych, instalacji centralnego ogrzewania i ciepłej wody, instalacji gazu oraz instalacji elektrycznych w budynkach Gminnych ( wg wykazu adresów) zarządzanych przez Zarząd Budynków Miejskich II Towarzystwo Budownictwa Społecznego Sp. z o. o. w Gliwicach – Rejony Obsługi Mieszkańców Nr 4, Nr 6 i Nr 10.</w:t>
            </w:r>
          </w:p>
          <w:p w:rsidR="00DC198D" w:rsidRDefault="00DC198D" w:rsidP="00DC198D">
            <w:pPr>
              <w:rPr>
                <w:rFonts w:ascii="Tahoma" w:hAnsi="Tahoma" w:cs="Tahoma"/>
                <w:b/>
                <w:bCs/>
              </w:rPr>
            </w:pPr>
          </w:p>
          <w:p w:rsidR="002D34B0" w:rsidRDefault="002D34B0" w:rsidP="002D34B0">
            <w:pPr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  <w:bookmarkStart w:id="0" w:name="_GoBack"/>
            <w:bookmarkEnd w:id="0"/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DC198D" w:rsidRPr="00DC198D" w:rsidRDefault="00DC198D" w:rsidP="00DC198D">
            <w:pPr>
              <w:spacing w:line="240" w:lineRule="atLeast"/>
              <w:contextualSpacing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lastRenderedPageBreak/>
              <w:t>Rzeczywista wartość roboczogodziny wynosi</w:t>
            </w:r>
            <w:r w:rsidRPr="00DC198D">
              <w:rPr>
                <w:rFonts w:asciiTheme="majorHAnsi" w:hAnsiTheme="majorHAnsi" w:cs="Tahoma"/>
                <w:b/>
              </w:rPr>
              <w:t xml:space="preserve">: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  <w:sz w:val="14"/>
              </w:rPr>
            </w:pP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</w:rPr>
              <w:t xml:space="preserve">      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R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  <w:vertAlign w:val="subscript"/>
              </w:rPr>
              <w:t xml:space="preserve"> rzecz.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= R ( 1 +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9"/>
                <w:u w:val="single"/>
              </w:rPr>
              <w:t>K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>p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)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(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 xml:space="preserve">1 + 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9"/>
                <w:sz w:val="32"/>
                <w:szCs w:val="32"/>
                <w:u w:val="single"/>
                <w:vertAlign w:val="subscript"/>
              </w:rPr>
              <w:t>Z</w:t>
            </w:r>
            <w:r w:rsidRPr="00DC198D">
              <w:rPr>
                <w:rFonts w:asciiTheme="majorHAnsi" w:hAnsiTheme="majorHAnsi" w:cs="Tahoma"/>
                <w:b/>
                <w:bCs/>
                <w:u w:val="single"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) =</w:t>
            </w:r>
            <w:r w:rsidRPr="00DC198D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  <w:vertAlign w:val="subscript"/>
              </w:rPr>
              <w:t>...............................</w:t>
            </w:r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zł/</w:t>
            </w:r>
            <w:proofErr w:type="spellStart"/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>godz</w:t>
            </w:r>
            <w:proofErr w:type="spellEnd"/>
            <w:r w:rsidRPr="00DC198D">
              <w:rPr>
                <w:rFonts w:asciiTheme="majorHAnsi" w:hAnsiTheme="majorHAnsi" w:cs="Tahoma"/>
                <w:b/>
                <w:bCs/>
                <w:position w:val="-9"/>
              </w:rPr>
              <w:t xml:space="preserve"> netto</w:t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b/>
                <w:bCs/>
              </w:rPr>
            </w:pPr>
            <w:r w:rsidRPr="00DC198D">
              <w:rPr>
                <w:rFonts w:asciiTheme="majorHAnsi" w:hAnsiTheme="majorHAnsi" w:cs="Tahoma"/>
                <w:b/>
                <w:bCs/>
              </w:rPr>
              <w:tab/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         100</w:t>
            </w:r>
            <w:r w:rsidRPr="00DC198D">
              <w:rPr>
                <w:rFonts w:asciiTheme="majorHAnsi" w:hAnsiTheme="majorHAnsi" w:cs="Tahoma"/>
                <w:b/>
                <w:bCs/>
              </w:rPr>
              <w:tab/>
              <w:t xml:space="preserve">    100</w:t>
            </w:r>
          </w:p>
          <w:p w:rsidR="00DC198D" w:rsidRPr="00DC198D" w:rsidRDefault="00DC198D" w:rsidP="00DC198D">
            <w:pPr>
              <w:ind w:firstLine="720"/>
              <w:rPr>
                <w:rFonts w:asciiTheme="majorHAnsi" w:hAnsiTheme="majorHAnsi" w:cs="Tahoma"/>
                <w:sz w:val="10"/>
                <w:szCs w:val="10"/>
              </w:rPr>
            </w:pP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12"/>
              </w:rPr>
            </w:pPr>
            <w:r w:rsidRPr="00DC198D">
              <w:rPr>
                <w:rFonts w:asciiTheme="majorHAnsi" w:hAnsiTheme="majorHAnsi" w:cs="Tahoma"/>
              </w:rPr>
              <w:t xml:space="preserve">    </w:t>
            </w:r>
          </w:p>
          <w:p w:rsidR="00DC198D" w:rsidRPr="00DC198D" w:rsidRDefault="00DC198D" w:rsidP="00DC198D">
            <w:pPr>
              <w:rPr>
                <w:rFonts w:asciiTheme="majorHAnsi" w:hAnsiTheme="majorHAnsi" w:cs="Tahoma"/>
              </w:rPr>
            </w:pPr>
            <w:r w:rsidRPr="00DC198D">
              <w:rPr>
                <w:rFonts w:asciiTheme="majorHAnsi" w:hAnsiTheme="majorHAnsi" w:cs="Tahoma"/>
                <w:u w:val="single"/>
              </w:rPr>
              <w:t>Wartości oferowanych składników cenotwórczych</w:t>
            </w:r>
            <w:r w:rsidRPr="00DC198D">
              <w:rPr>
                <w:rFonts w:asciiTheme="majorHAnsi" w:hAnsiTheme="majorHAnsi" w:cs="Tahoma"/>
              </w:rPr>
              <w:t xml:space="preserve">:   </w:t>
            </w:r>
          </w:p>
          <w:p w:rsidR="00DC198D" w:rsidRPr="00DC198D" w:rsidRDefault="00DC198D" w:rsidP="00DC198D">
            <w:pPr>
              <w:rPr>
                <w:rFonts w:asciiTheme="majorHAnsi" w:hAnsiTheme="majorHAnsi" w:cs="Tahoma"/>
                <w:sz w:val="12"/>
                <w:szCs w:val="8"/>
              </w:rPr>
            </w:pPr>
            <w:r w:rsidRPr="00DC198D">
              <w:rPr>
                <w:rFonts w:asciiTheme="majorHAnsi" w:hAnsiTheme="majorHAnsi" w:cs="Tahoma"/>
              </w:rPr>
              <w:tab/>
            </w:r>
          </w:p>
          <w:p w:rsidR="00DC198D" w:rsidRPr="00DC198D" w:rsidRDefault="00DC198D" w:rsidP="00DC198D">
            <w:pPr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Roboczogodzina (R) 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zł/godz.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Koszty pośrednie (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) do R i S</w:t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Zysk ( Z ) do R i S i 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</w:p>
          <w:p w:rsid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Materiał ( M ) - na podstawie cen zakupu materiałów lecz nie wyższych niż średnia wartość 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                                       </w:t>
            </w:r>
            <w:r w:rsidRPr="00DC198D">
              <w:rPr>
                <w:rFonts w:asciiTheme="majorHAnsi" w:hAnsiTheme="majorHAnsi" w:cs="Tahoma"/>
                <w:sz w:val="22"/>
              </w:rPr>
              <w:t>SEKOCENBUDU</w:t>
            </w:r>
          </w:p>
          <w:p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Sprzęt ( S ) - nie wyższy niż wartość średnia z kolumny 5 Informacji o stawkach robocizny kosztorysowej </w:t>
            </w:r>
          </w:p>
          <w:p w:rsidR="00DC198D" w:rsidRPr="00DC198D" w:rsidRDefault="00DC198D" w:rsidP="00DC198D">
            <w:pPr>
              <w:spacing w:line="240" w:lineRule="atLeast"/>
              <w:ind w:left="708" w:firstLine="708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oraz o cenach pracy sprzętu budowlanego opublikowanego przez SEKOCENBUD</w:t>
            </w:r>
          </w:p>
          <w:p w:rsidR="00DC198D" w:rsidRPr="00DC198D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hAnsiTheme="majorHAnsi"/>
                <w:sz w:val="6"/>
              </w:rPr>
            </w:pPr>
          </w:p>
          <w:p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DC198D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24 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Pr="00261C85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DC198D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6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</w:t>
            </w:r>
            <w:r w:rsidR="00DC198D"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C198D" w:rsidRDefault="00404BE5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261C85" w:rsidRPr="003B33DD" w:rsidRDefault="00404BE5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DC198D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DC198D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5E19BE" w:rsidRPr="00896145" w:rsidRDefault="004F5447" w:rsidP="00DC198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57" w:rsidRDefault="000F0057">
      <w:r>
        <w:separator/>
      </w:r>
    </w:p>
  </w:endnote>
  <w:endnote w:type="continuationSeparator" w:id="0">
    <w:p w:rsidR="000F0057" w:rsidRDefault="000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57" w:rsidRDefault="000F0057">
      <w:r>
        <w:separator/>
      </w:r>
    </w:p>
  </w:footnote>
  <w:footnote w:type="continuationSeparator" w:id="0">
    <w:p w:rsidR="000F0057" w:rsidRDefault="000F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067765F"/>
    <w:multiLevelType w:val="hybridMultilevel"/>
    <w:tmpl w:val="1458C9F6"/>
    <w:lvl w:ilvl="0" w:tplc="634A8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D50CB"/>
    <w:rsid w:val="000E0BE0"/>
    <w:rsid w:val="000F0057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2CB3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15583"/>
    <w:rsid w:val="00D2546A"/>
    <w:rsid w:val="00D267A1"/>
    <w:rsid w:val="00D31D23"/>
    <w:rsid w:val="00D42E71"/>
    <w:rsid w:val="00D5110F"/>
    <w:rsid w:val="00D66871"/>
    <w:rsid w:val="00D871B6"/>
    <w:rsid w:val="00DA4BBF"/>
    <w:rsid w:val="00DC198D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11</cp:revision>
  <cp:lastPrinted>2021-07-12T14:15:00Z</cp:lastPrinted>
  <dcterms:created xsi:type="dcterms:W3CDTF">2021-06-02T07:33:00Z</dcterms:created>
  <dcterms:modified xsi:type="dcterms:W3CDTF">2021-11-30T09:38:00Z</dcterms:modified>
</cp:coreProperties>
</file>