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A529" w14:textId="70CB74F7" w:rsidR="00DD7D3A" w:rsidRDefault="0083681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TYTUŁ: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Zakup usługi dostępu do informatycznej platformy zakupowej, wspomagającej obsługę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wień publicznych w formie elektronicznej wraz ze wsparciem technicznym na potrzeby AWF we </w:t>
      </w:r>
      <w:r w:rsidR="00F66C2F">
        <w:rPr>
          <w:b/>
          <w:bCs/>
          <w:sz w:val="24"/>
          <w:szCs w:val="24"/>
        </w:rPr>
        <w:t>Wrocł</w:t>
      </w:r>
      <w:r w:rsidR="00F66C2F" w:rsidRPr="0038130C">
        <w:rPr>
          <w:b/>
          <w:bCs/>
          <w:sz w:val="24"/>
          <w:szCs w:val="24"/>
        </w:rPr>
        <w:t>awiu</w:t>
      </w:r>
    </w:p>
    <w:p w14:paraId="6EEBF101" w14:textId="77777777" w:rsidR="00DD7D3A" w:rsidRDefault="00DD7D3A">
      <w:pPr>
        <w:widowControl w:val="0"/>
        <w:rPr>
          <w:b/>
          <w:bCs/>
          <w:color w:val="FF0000"/>
          <w:sz w:val="24"/>
          <w:szCs w:val="24"/>
          <w:u w:color="FF0000"/>
        </w:rPr>
      </w:pPr>
    </w:p>
    <w:p w14:paraId="79029BB2" w14:textId="77777777" w:rsidR="00DD7D3A" w:rsidRDefault="00836815">
      <w:pPr>
        <w:widowControl w:val="0"/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>
        <w:rPr>
          <w:b/>
          <w:bCs/>
          <w:color w:val="333333"/>
          <w:sz w:val="24"/>
          <w:szCs w:val="24"/>
          <w:u w:color="333333"/>
        </w:rPr>
        <w:t>A420/ST/19/2021</w:t>
      </w:r>
    </w:p>
    <w:p w14:paraId="70DF424A" w14:textId="77777777" w:rsidR="00DD7D3A" w:rsidRDefault="008368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Kody ze Wsp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lnego Słownika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wień </w:t>
      </w:r>
      <w:r>
        <w:rPr>
          <w:b/>
          <w:bCs/>
          <w:sz w:val="24"/>
          <w:szCs w:val="24"/>
          <w:lang w:val="pt-PT"/>
        </w:rPr>
        <w:t xml:space="preserve">CPV: </w:t>
      </w:r>
      <w:r>
        <w:rPr>
          <w:sz w:val="24"/>
          <w:szCs w:val="24"/>
        </w:rPr>
        <w:t>nr 48490000-9 (Pakiety oprogramowania do 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wień), 72260000-5 (Usługi w zakresie oprogramowania), 72263000-6 (Usługi w zakresie wdrażania oprogramowania), 72250000-52 (Usługi w zakresie konserwacji i wsparcia system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w).</w:t>
      </w:r>
    </w:p>
    <w:p w14:paraId="3FFF0180" w14:textId="77777777" w:rsidR="00DD7D3A" w:rsidRDefault="00DD7D3A">
      <w:pPr>
        <w:spacing w:line="312" w:lineRule="auto"/>
        <w:rPr>
          <w:b/>
          <w:bCs/>
          <w:sz w:val="24"/>
          <w:szCs w:val="24"/>
        </w:rPr>
      </w:pPr>
    </w:p>
    <w:p w14:paraId="34E965A4" w14:textId="6B90C483" w:rsidR="00DD7D3A" w:rsidRDefault="00836815">
      <w:pPr>
        <w:jc w:val="both"/>
        <w:rPr>
          <w:sz w:val="24"/>
          <w:szCs w:val="24"/>
        </w:rPr>
      </w:pPr>
      <w:bookmarkStart w:id="0" w:name="_oxsqy9mfehu7"/>
      <w:r>
        <w:rPr>
          <w:sz w:val="24"/>
          <w:szCs w:val="24"/>
        </w:rPr>
        <w:t xml:space="preserve">W celu umożliwienia </w:t>
      </w:r>
      <w:r w:rsidR="0038130C">
        <w:rPr>
          <w:sz w:val="24"/>
          <w:szCs w:val="24"/>
        </w:rPr>
        <w:t xml:space="preserve">Wykonawcy </w:t>
      </w:r>
      <w:r>
        <w:rPr>
          <w:sz w:val="24"/>
          <w:szCs w:val="24"/>
        </w:rPr>
        <w:t>wyceny usługi Zamawiający załącza Sprawozdanie z Udzielonych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wień </w:t>
      </w:r>
      <w:r>
        <w:rPr>
          <w:b/>
          <w:bCs/>
          <w:sz w:val="24"/>
          <w:szCs w:val="24"/>
        </w:rPr>
        <w:t>za 2020 rok</w:t>
      </w:r>
      <w:r>
        <w:rPr>
          <w:sz w:val="24"/>
          <w:szCs w:val="24"/>
        </w:rPr>
        <w:t xml:space="preserve">. oraz informuje, że planuje w okresie każdego roku obowiązywania umowy opublikować </w:t>
      </w:r>
      <w:r w:rsidRPr="00F66C2F">
        <w:rPr>
          <w:b/>
          <w:sz w:val="24"/>
          <w:szCs w:val="24"/>
        </w:rPr>
        <w:t>do 30 postępowań przetargowych</w:t>
      </w:r>
      <w:r>
        <w:rPr>
          <w:sz w:val="24"/>
          <w:szCs w:val="24"/>
        </w:rPr>
        <w:t xml:space="preserve"> w trybach określonych ustawą Pzp. Na tej podstawie Zamawiający oczekuje wyceny systemu bez limitu ilości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dopłat za ilość postępowań. </w:t>
      </w:r>
      <w:bookmarkEnd w:id="0"/>
    </w:p>
    <w:p w14:paraId="78ED0BC2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wienia i podstawowe wymagania</w:t>
      </w:r>
    </w:p>
    <w:p w14:paraId="38E900BF" w14:textId="77777777" w:rsidR="00DD7D3A" w:rsidRDefault="00836815" w:rsidP="0038130C">
      <w:pPr>
        <w:numPr>
          <w:ilvl w:val="1"/>
          <w:numId w:val="2"/>
        </w:numPr>
        <w:ind w:left="851" w:hanging="4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Przedmiotem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wienia jest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zakup usługi dostępu do informatycznej platformy zakupowej,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wspomagającej obsługę zam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wień publicznych w formie elektronicznej wraz ze wsparciem technicznym </w:t>
      </w:r>
      <w:r>
        <w:rPr>
          <w:sz w:val="24"/>
          <w:szCs w:val="24"/>
        </w:rPr>
        <w:t>zgodnie z wymaganiami określonymi w Opisie przedmiotu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 (dalej „OPZ”).</w:t>
      </w:r>
    </w:p>
    <w:p w14:paraId="5DCE6F2F" w14:textId="77777777" w:rsidR="00DD7D3A" w:rsidRDefault="00836815" w:rsidP="0038130C">
      <w:pPr>
        <w:numPr>
          <w:ilvl w:val="1"/>
          <w:numId w:val="2"/>
        </w:numPr>
        <w:ind w:left="851" w:hanging="443"/>
        <w:jc w:val="both"/>
        <w:rPr>
          <w:sz w:val="24"/>
          <w:szCs w:val="24"/>
        </w:rPr>
      </w:pPr>
      <w:r>
        <w:rPr>
          <w:sz w:val="24"/>
          <w:szCs w:val="24"/>
        </w:rPr>
        <w:t>Przez platformę zakupową rozumie się gotowe narzędzie do prowadzenia postępowań o udzielenie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 przy użyciu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komunikacji elektronicznej, działające on-line z wykorzystaniem przeglądarki internetowej, umożliwiające przeprowadzenie całego procesu udzielania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 w formie elektronicznej zgodnie z ustawą z dnia 11 września 2019r. Prawo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 (Dz. U. z 2019 r. poz. 2019), oraz aktami wykonawczymi do tej Ustawy, jak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ustawa nie dotyczy na podstawie art 2 ust 1 tejże ustawy. </w:t>
      </w:r>
    </w:p>
    <w:p w14:paraId="538C4912" w14:textId="77777777" w:rsidR="00DD7D3A" w:rsidRDefault="00836815" w:rsidP="0038130C">
      <w:pPr>
        <w:numPr>
          <w:ilvl w:val="1"/>
          <w:numId w:val="2"/>
        </w:numPr>
        <w:ind w:left="851" w:hanging="443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14:paraId="47DC2010" w14:textId="77777777" w:rsidR="00DD7D3A" w:rsidRDefault="00836815" w:rsidP="0038130C">
      <w:pPr>
        <w:numPr>
          <w:ilvl w:val="1"/>
          <w:numId w:val="2"/>
        </w:numPr>
        <w:ind w:left="851" w:hanging="443"/>
        <w:jc w:val="both"/>
        <w:rPr>
          <w:color w:val="00B050"/>
          <w:sz w:val="24"/>
          <w:szCs w:val="24"/>
          <w:u w:color="00B050"/>
        </w:rPr>
      </w:pPr>
      <w:r>
        <w:rPr>
          <w:sz w:val="24"/>
          <w:szCs w:val="24"/>
        </w:rPr>
        <w:t>Zamawiający przewiduje przedstawienia przez wykonawcę wzorcowej Umowy pod warunkiem, że będzie ona spełniała wszystkie założenia niniejszego postępowania, a w przypadku braku lub niezaakceptowania Umowy zaproponuje własny wzorzec Umowy lub zmian do Umowy. W przypadku braku wypracowania w trakcie negocjacji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lnej treści umowy, wykonawca zostanie wykluczony z postępowania. </w:t>
      </w:r>
    </w:p>
    <w:p w14:paraId="62C6EE8F" w14:textId="77777777" w:rsidR="00DD7D3A" w:rsidRDefault="00DD7D3A">
      <w:pPr>
        <w:ind w:left="1440"/>
        <w:jc w:val="both"/>
        <w:rPr>
          <w:color w:val="00B050"/>
          <w:sz w:val="24"/>
          <w:szCs w:val="24"/>
          <w:u w:color="00B050"/>
        </w:rPr>
      </w:pPr>
    </w:p>
    <w:p w14:paraId="04BAE19C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mgifzarah8gq"/>
      <w:r>
        <w:rPr>
          <w:rFonts w:ascii="Times New Roman" w:hAnsi="Times New Roman"/>
          <w:b/>
          <w:bCs/>
          <w:sz w:val="24"/>
          <w:szCs w:val="24"/>
        </w:rPr>
        <w:t>Termin i miejsce wykonania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wienia</w:t>
      </w:r>
    </w:p>
    <w:p w14:paraId="106DC23D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pomiędzy Zamawiającym a Wykonawcą będzie obowiązywała przez okres 24 miesięcy od dnia jej zawarcia</w:t>
      </w:r>
      <w:r>
        <w:rPr>
          <w:b/>
          <w:bCs/>
          <w:sz w:val="24"/>
          <w:szCs w:val="24"/>
        </w:rPr>
        <w:t xml:space="preserve">. </w:t>
      </w:r>
    </w:p>
    <w:p w14:paraId="5DC16A36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platformy nastąpi nie później niż w terminie 14 dni od dnia zawarcia Umowy, nie później niż 04 maja 2021r. </w:t>
      </w:r>
    </w:p>
    <w:p w14:paraId="60148177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stworzenia dedykowanego dla Zamawiającego Profilu Nabywcy zgodnego z WCAG 2.1, kt</w:t>
      </w:r>
      <w:r>
        <w:rPr>
          <w:sz w:val="24"/>
          <w:szCs w:val="24"/>
          <w:lang w:val="es-ES_tradnl"/>
        </w:rPr>
        <w:t>ó</w:t>
      </w:r>
      <w:r w:rsidRPr="0038130C">
        <w:rPr>
          <w:sz w:val="24"/>
          <w:szCs w:val="24"/>
        </w:rPr>
        <w:t>ry b</w:t>
      </w:r>
      <w:r>
        <w:rPr>
          <w:sz w:val="24"/>
          <w:szCs w:val="24"/>
        </w:rPr>
        <w:t xml:space="preserve">ędzie </w:t>
      </w:r>
      <w:r>
        <w:rPr>
          <w:sz w:val="24"/>
          <w:szCs w:val="24"/>
        </w:rPr>
        <w:lastRenderedPageBreak/>
        <w:t>przygotowany w porozumieniu z Zamawiającym i na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będą publikowane wszystkie postępowania organizowane w trybie otwartym.</w:t>
      </w:r>
    </w:p>
    <w:p w14:paraId="0DB7A8FF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przeprowadzi w okresie uruchomienia platformy zakupowej 2 szkolenia online dla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AWF w zakresie korzystania z platformy zakupowej oraz szkolenie dla 4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 siedzibie Zamawiającego w zakresie administrowania i zarządzania (rola administratora zamawiają</w:t>
      </w:r>
      <w:r>
        <w:rPr>
          <w:sz w:val="24"/>
          <w:szCs w:val="24"/>
          <w:lang w:val="it-IT"/>
        </w:rPr>
        <w:t>cego/mentora) . Data i</w:t>
      </w:r>
      <w:r>
        <w:rPr>
          <w:sz w:val="24"/>
          <w:szCs w:val="24"/>
        </w:rPr>
        <w:t xml:space="preserve"> szczegółowy zakres szkolenia zostaną ustalone pomiędzy Zamawiającym a Wykonawcą </w:t>
      </w:r>
      <w:r w:rsidRPr="0038130C">
        <w:rPr>
          <w:sz w:val="24"/>
          <w:szCs w:val="24"/>
        </w:rPr>
        <w:t>w</w:t>
      </w:r>
      <w:r>
        <w:rPr>
          <w:sz w:val="24"/>
          <w:szCs w:val="24"/>
        </w:rPr>
        <w:t> terminie do 7 dni od dnia zawarcia umowy.</w:t>
      </w:r>
    </w:p>
    <w:p w14:paraId="59DAEE4A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 ramach świadczonej usługi zobowiązuje się udostę</w:t>
      </w:r>
      <w:r>
        <w:rPr>
          <w:sz w:val="24"/>
          <w:szCs w:val="24"/>
          <w:lang w:val="nl-NL"/>
        </w:rPr>
        <w:t>pni</w:t>
      </w:r>
      <w:r>
        <w:rPr>
          <w:sz w:val="24"/>
          <w:szCs w:val="24"/>
        </w:rPr>
        <w:t>ć dostęp do bezpłatnych szkoleń online z platformy zakupowej dla Zamawiającego minimum raz w miesiącu w zakresie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regulaminowych oraz przetarg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Zamawiający będzie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gł uczestniczyć. </w:t>
      </w:r>
    </w:p>
    <w:p w14:paraId="3EF47ACE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postępowań wszczętych i niezakończonych w czasie obowiązywania umowy Wykonawca będzie zobowiązany do udostępnienia, na warunkach określonych w umowie  i niniejszym OPZ, platformy zakupowej do czasu ich zakończenia, wraz z zapewnieniem wsparcia technicznego. </w:t>
      </w:r>
    </w:p>
    <w:p w14:paraId="4417F638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będzie zobowiązany do archiwizacji danych, zgromadzonych w okresie obowiązywania umowy, przez okres minimum 4 lat, liczonych od daty zakończenia postępowania oraz do zapewnienia bezpłatnego i nieograniczonego dostępu do danych umożliwiającego m.in.: bezpłatne i nielimitowane pobieranie zarchiwizowanych danych oraz dokonanie ich podglądu  w trybie on-line bez konieczności zgłaszania wcześniej takiej potrzeby Wykonawcy.</w:t>
      </w:r>
    </w:p>
    <w:p w14:paraId="664DA3D3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spełnienia wymog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określonych w pkt 2.7,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wnież </w:t>
      </w:r>
      <w:r w:rsidRPr="0038130C">
        <w:rPr>
          <w:sz w:val="24"/>
          <w:szCs w:val="24"/>
        </w:rPr>
        <w:t>w</w:t>
      </w:r>
      <w:r>
        <w:rPr>
          <w:sz w:val="24"/>
          <w:szCs w:val="24"/>
        </w:rPr>
        <w:t> przypadku wygaśnięcia i/lub odstąpienia od umowy na zasadach opisanych w umowie.</w:t>
      </w:r>
      <w:bookmarkEnd w:id="1"/>
    </w:p>
    <w:p w14:paraId="4B92BB8E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wqf25uo13iv"/>
      <w:r>
        <w:rPr>
          <w:rFonts w:ascii="Times New Roman" w:hAnsi="Times New Roman"/>
          <w:b/>
          <w:bCs/>
          <w:sz w:val="24"/>
          <w:szCs w:val="24"/>
        </w:rPr>
        <w:t>Warunki finansowania i płatnoś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ci </w:t>
      </w:r>
    </w:p>
    <w:p w14:paraId="5732119F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Rozliczenia między Zamawiającym a Wykonawcą będą prowadzone w złotych polskich, bez zaliczek oraz bez stosowania jakichkolwiek przelicznik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w tym w stosunku do walut obcych.</w:t>
      </w:r>
    </w:p>
    <w:p w14:paraId="36DAF533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za realizację przedmiotu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wienia będą odbywać się w cyklach rocznych. </w:t>
      </w:r>
    </w:p>
    <w:p w14:paraId="08FD89B6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Płatność </w:t>
      </w:r>
      <w:r>
        <w:rPr>
          <w:sz w:val="24"/>
          <w:szCs w:val="24"/>
          <w:lang w:val="it-IT"/>
        </w:rPr>
        <w:t>za ca</w:t>
      </w:r>
      <w:r>
        <w:rPr>
          <w:sz w:val="24"/>
          <w:szCs w:val="24"/>
        </w:rPr>
        <w:t>łość wraz ze wsparciem technicznym (uruchomienie i korzystanie z platformy zakupowej) nastąpi jednorazowo za rok z 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przelewem na rachunek bankowy wskazany przez Wykonawcę w Umowie, w terminie do 30 dni od otrzymania od Wykonawcy przez Zamawiającego prawidłowo wystawionej faktury.</w:t>
      </w:r>
    </w:p>
    <w:p w14:paraId="0198B8FA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faktury przez Wykonawcę, będzie protokół z zakończenia wdrażania i uruchomienia platformy zakupowej w pełnym zakresie opisanym dokumentach postępowania. </w:t>
      </w:r>
    </w:p>
    <w:p w14:paraId="5AFD0897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wstrzymania zapłaty faktur nieprawidłowo wystawionych lub wystawionej przed podpisaniem przez strony protokołu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powyżej, do czasu otrzymania przez Zamawiającego prawidłowo </w:t>
      </w:r>
      <w:r>
        <w:rPr>
          <w:sz w:val="24"/>
          <w:szCs w:val="24"/>
        </w:rPr>
        <w:lastRenderedPageBreak/>
        <w:t xml:space="preserve">wystawionej faktury, faktury korygującej lub podpisania przez Wykonawcę noty korygującej. </w:t>
      </w:r>
    </w:p>
    <w:p w14:paraId="383F646B" w14:textId="77777777" w:rsidR="00DD7D3A" w:rsidRPr="0038130C" w:rsidRDefault="00836815">
      <w:pPr>
        <w:numPr>
          <w:ilvl w:val="1"/>
          <w:numId w:val="3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Za dzień dokonania płatności przyjmuje się </w:t>
      </w:r>
      <w:r>
        <w:rPr>
          <w:sz w:val="24"/>
          <w:szCs w:val="24"/>
          <w:lang w:val="nl-NL"/>
        </w:rPr>
        <w:t>dat</w:t>
      </w:r>
      <w:r>
        <w:rPr>
          <w:sz w:val="24"/>
          <w:szCs w:val="24"/>
        </w:rPr>
        <w:t xml:space="preserve">ę obciążenia rachunku </w:t>
      </w:r>
      <w:r w:rsidRPr="0038130C">
        <w:rPr>
          <w:color w:val="auto"/>
          <w:sz w:val="24"/>
          <w:szCs w:val="24"/>
        </w:rPr>
        <w:t>bankowego Zamawiającego.</w:t>
      </w:r>
    </w:p>
    <w:p w14:paraId="72FC40D3" w14:textId="06530B3B" w:rsidR="00DD7D3A" w:rsidRPr="0038130C" w:rsidRDefault="00836815">
      <w:pPr>
        <w:widowControl w:val="0"/>
        <w:numPr>
          <w:ilvl w:val="1"/>
          <w:numId w:val="4"/>
        </w:numPr>
        <w:spacing w:line="240" w:lineRule="auto"/>
        <w:jc w:val="both"/>
        <w:rPr>
          <w:b/>
          <w:bCs/>
          <w:color w:val="auto"/>
          <w:sz w:val="24"/>
          <w:szCs w:val="24"/>
          <w:u w:color="FF0000"/>
        </w:rPr>
      </w:pPr>
      <w:r w:rsidRPr="0038130C">
        <w:rPr>
          <w:color w:val="auto"/>
          <w:sz w:val="24"/>
          <w:szCs w:val="24"/>
          <w:u w:color="FF0000"/>
        </w:rPr>
        <w:t>Gwarancja satysfakcji świadczonych usług - jeżeli usługa nie spełni oczekiwań Zamawiającego i ten zareklamuje ją pisemnie w terminie 90 dni od daty uruchomienia platformy zakupowej to operator platformy zwr</w:t>
      </w:r>
      <w:r w:rsidRPr="0038130C">
        <w:rPr>
          <w:color w:val="auto"/>
          <w:sz w:val="24"/>
          <w:szCs w:val="24"/>
          <w:u w:color="FF0000"/>
          <w:lang w:val="es-ES_tradnl"/>
        </w:rPr>
        <w:t>ó</w:t>
      </w:r>
      <w:r w:rsidRPr="0038130C">
        <w:rPr>
          <w:color w:val="auto"/>
          <w:sz w:val="24"/>
          <w:szCs w:val="24"/>
          <w:u w:color="FF0000"/>
        </w:rPr>
        <w:t xml:space="preserve">ci 100% pobranych opłat (abonament oraz wartość wdrożenia, szkoleń). Zamawiający nie musi podawać przyczyn rezygnacji, a ta nie może być traktowana przez operatora uznaniowo </w:t>
      </w:r>
      <w:r w:rsidRPr="0038130C">
        <w:rPr>
          <w:b/>
          <w:bCs/>
          <w:color w:val="auto"/>
          <w:sz w:val="24"/>
          <w:szCs w:val="24"/>
          <w:u w:color="FF0000"/>
        </w:rPr>
        <w:t xml:space="preserve">– jeśli </w:t>
      </w:r>
      <w:r w:rsidR="0038130C">
        <w:rPr>
          <w:b/>
          <w:bCs/>
          <w:color w:val="auto"/>
          <w:sz w:val="24"/>
          <w:szCs w:val="24"/>
          <w:u w:color="FF0000"/>
        </w:rPr>
        <w:t xml:space="preserve">wykonawca wskaże </w:t>
      </w:r>
      <w:r w:rsidR="0038130C" w:rsidRPr="0038130C">
        <w:rPr>
          <w:b/>
          <w:bCs/>
          <w:color w:val="auto"/>
          <w:sz w:val="24"/>
          <w:szCs w:val="24"/>
          <w:u w:color="FF0000"/>
        </w:rPr>
        <w:t>w ofercie</w:t>
      </w:r>
      <w:r w:rsidR="0038130C">
        <w:rPr>
          <w:b/>
          <w:bCs/>
          <w:color w:val="auto"/>
          <w:sz w:val="24"/>
          <w:szCs w:val="24"/>
          <w:u w:color="FF0000"/>
        </w:rPr>
        <w:t xml:space="preserve"> że </w:t>
      </w:r>
      <w:r w:rsidRPr="0038130C">
        <w:rPr>
          <w:b/>
          <w:bCs/>
          <w:color w:val="auto"/>
          <w:sz w:val="24"/>
          <w:szCs w:val="24"/>
          <w:u w:color="FF0000"/>
        </w:rPr>
        <w:t>przewid</w:t>
      </w:r>
      <w:r w:rsidR="0038130C">
        <w:rPr>
          <w:b/>
          <w:bCs/>
          <w:color w:val="auto"/>
          <w:sz w:val="24"/>
          <w:szCs w:val="24"/>
          <w:u w:color="FF0000"/>
        </w:rPr>
        <w:t>uje taką opcję</w:t>
      </w:r>
      <w:bookmarkEnd w:id="2"/>
      <w:r w:rsidR="0038130C">
        <w:rPr>
          <w:b/>
          <w:bCs/>
          <w:color w:val="auto"/>
          <w:sz w:val="24"/>
          <w:szCs w:val="24"/>
          <w:u w:color="FF0000"/>
        </w:rPr>
        <w:t>.</w:t>
      </w:r>
    </w:p>
    <w:p w14:paraId="524FC454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ak57232gdr0o"/>
      <w:r>
        <w:rPr>
          <w:rFonts w:ascii="Times New Roman" w:hAnsi="Times New Roman"/>
          <w:b/>
          <w:bCs/>
          <w:sz w:val="24"/>
          <w:szCs w:val="24"/>
        </w:rPr>
        <w:t>Opis sposobu obliczania ceny</w:t>
      </w:r>
    </w:p>
    <w:p w14:paraId="592BB716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i brutto podana w ofercie, w tym ceny jednostkowe obejmują wszystkie koszty uruchomienia platformy zakupowej, koszty utrzymania, rozwoju platformy, wsparcia technicznego, koszty wynikające z realizacji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wskazanych w postępowaniu, koszty bieżącej pomocy w obsłudze platformy: doradztwa, przyjmowania zgłoszeń telefonicznych i mailowych od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(oferent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w), koszty instruktażu, w tym dojazdu Wykonawcy do siedziby Zamawiającego, materiałów instruktażowych i innych związanych z przeprowadzeniem instruktażu, koszty licencji na korzystanie z platformy zakupowej, wszelkie należ</w:t>
      </w:r>
      <w:r>
        <w:rPr>
          <w:sz w:val="24"/>
          <w:szCs w:val="24"/>
          <w:lang w:val="it-IT"/>
        </w:rPr>
        <w:t>ne c</w:t>
      </w:r>
      <w:r>
        <w:rPr>
          <w:sz w:val="24"/>
          <w:szCs w:val="24"/>
        </w:rPr>
        <w:t xml:space="preserve">ła i podatki. </w:t>
      </w:r>
    </w:p>
    <w:p w14:paraId="7D1BA865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i brutto podana w ofercie zawiera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wynagrodzenie należne Wykonawcy z tytułu udzielenia licencji i wyczerpuje wszelkie należności Wykonawcy wobec Zamawiającego związane z realizacją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wienia.</w:t>
      </w:r>
    </w:p>
    <w:p w14:paraId="29182FFE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podać cenę </w:t>
      </w:r>
      <w:r>
        <w:rPr>
          <w:sz w:val="24"/>
          <w:szCs w:val="24"/>
          <w:lang w:val="it-IT"/>
        </w:rPr>
        <w:t>ofertow</w:t>
      </w:r>
      <w:r>
        <w:rPr>
          <w:sz w:val="24"/>
          <w:szCs w:val="24"/>
        </w:rPr>
        <w:t>ą zgodnie z aktualnymi przepisami z dokładnością do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ch miejsc po przecinku. Wartości zaokrągla się </w:t>
      </w:r>
      <w:r>
        <w:rPr>
          <w:sz w:val="24"/>
          <w:szCs w:val="24"/>
          <w:lang w:val="pt-PT"/>
        </w:rPr>
        <w:t>do pe</w:t>
      </w:r>
      <w:r>
        <w:rPr>
          <w:sz w:val="24"/>
          <w:szCs w:val="24"/>
        </w:rPr>
        <w:t>łnego grosza w taki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że końc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wki poniżej 0,5 grosza pomija się, a końc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wki 0,5 grosza i wyższe zaokrągla się do 1 grosza. </w:t>
      </w:r>
    </w:p>
    <w:p w14:paraId="1FF5DC25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prawidłowe obliczenie stawki podatku VAT odpowiada Wykonawca i stawka ta będzie waloryzowana w oparciu o aktualne przepisy.</w:t>
      </w:r>
      <w:bookmarkEnd w:id="3"/>
    </w:p>
    <w:p w14:paraId="360B4C1C" w14:textId="77777777" w:rsidR="00DD7D3A" w:rsidRPr="00E411C0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bookmarkStart w:id="4" w:name="_cr7z958zglx"/>
      <w:r w:rsidRPr="00E411C0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Warunki udziału w postępowaniu</w:t>
      </w:r>
    </w:p>
    <w:p w14:paraId="6A73B1C0" w14:textId="77777777" w:rsidR="00DD7D3A" w:rsidRPr="00E411C0" w:rsidRDefault="00836815">
      <w:pPr>
        <w:numPr>
          <w:ilvl w:val="1"/>
          <w:numId w:val="3"/>
        </w:numPr>
        <w:spacing w:before="60"/>
        <w:jc w:val="both"/>
        <w:rPr>
          <w:color w:val="auto"/>
          <w:sz w:val="24"/>
          <w:szCs w:val="24"/>
          <w:u w:color="FF0000"/>
        </w:rPr>
      </w:pPr>
      <w:r w:rsidRPr="00E411C0">
        <w:rPr>
          <w:color w:val="auto"/>
          <w:sz w:val="24"/>
          <w:szCs w:val="24"/>
          <w:u w:color="FF0000"/>
        </w:rPr>
        <w:t>O udzielenie niniejszego zam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wienia mogą ubiegać się Wykonawcy w stosunku, do kt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rych nie otwarto likwidacji ani nie ogłoszono upadłości oraz spełniają warunki udziału w postępowaniu zakupowym dotyczą</w:t>
      </w:r>
      <w:r w:rsidRPr="00E411C0">
        <w:rPr>
          <w:color w:val="auto"/>
          <w:sz w:val="24"/>
          <w:szCs w:val="24"/>
          <w:u w:color="FF0000"/>
          <w:lang w:val="it-IT"/>
        </w:rPr>
        <w:t>ce:</w:t>
      </w:r>
    </w:p>
    <w:p w14:paraId="36AC7404" w14:textId="05851450" w:rsidR="00DD7D3A" w:rsidRDefault="00836815" w:rsidP="00E411C0">
      <w:pPr>
        <w:numPr>
          <w:ilvl w:val="2"/>
          <w:numId w:val="3"/>
        </w:numPr>
        <w:spacing w:before="60"/>
        <w:ind w:left="1843" w:hanging="709"/>
        <w:jc w:val="both"/>
        <w:rPr>
          <w:color w:val="auto"/>
          <w:sz w:val="24"/>
          <w:szCs w:val="24"/>
          <w:u w:color="FF0000"/>
        </w:rPr>
      </w:pPr>
      <w:r w:rsidRPr="00E411C0">
        <w:rPr>
          <w:b/>
          <w:bCs/>
          <w:color w:val="auto"/>
          <w:sz w:val="24"/>
          <w:szCs w:val="24"/>
          <w:u w:color="FF0000"/>
        </w:rPr>
        <w:t xml:space="preserve">Zdolności technicznej lub zawodowej - </w:t>
      </w:r>
      <w:r w:rsidRPr="00E411C0">
        <w:rPr>
          <w:color w:val="auto"/>
          <w:sz w:val="24"/>
          <w:szCs w:val="24"/>
          <w:u w:color="FF0000"/>
        </w:rPr>
        <w:t>o</w:t>
      </w:r>
      <w:r w:rsidRPr="00E411C0">
        <w:rPr>
          <w:b/>
          <w:bCs/>
          <w:color w:val="auto"/>
          <w:sz w:val="24"/>
          <w:szCs w:val="24"/>
          <w:u w:color="FF0000"/>
        </w:rPr>
        <w:t xml:space="preserve"> </w:t>
      </w:r>
      <w:r w:rsidRPr="00E411C0">
        <w:rPr>
          <w:color w:val="auto"/>
          <w:sz w:val="24"/>
          <w:szCs w:val="24"/>
          <w:u w:color="FF0000"/>
        </w:rPr>
        <w:t>udzielenie  zam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wienia może ubiegać się Wykonawca, kt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ry w okresie ostatnich 12 miesięcy przed upływem terminu składania ofert wykonywał usługi, w postaci obsługi zam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wień publicznych w formie elektronicznej na oferowanym portalu na rzecz co najmniej 300 instytucji/urzęd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w podlegających pod Pzp;</w:t>
      </w:r>
      <w:r w:rsidR="00E411C0" w:rsidRPr="00E411C0">
        <w:rPr>
          <w:color w:val="auto"/>
          <w:sz w:val="24"/>
          <w:szCs w:val="24"/>
          <w:u w:color="FF0000"/>
        </w:rPr>
        <w:t xml:space="preserve"> </w:t>
      </w:r>
      <w:r w:rsidRPr="00E411C0">
        <w:rPr>
          <w:color w:val="auto"/>
          <w:sz w:val="24"/>
          <w:szCs w:val="24"/>
          <w:u w:color="FF0000"/>
        </w:rPr>
        <w:t>Zamawiający dokona oceny spełniania warunku udziału w postępowaniu na podstawie wykazu wszystkich jednostek, kt</w:t>
      </w:r>
      <w:r w:rsidRPr="00E411C0">
        <w:rPr>
          <w:color w:val="auto"/>
          <w:sz w:val="24"/>
          <w:szCs w:val="24"/>
          <w:u w:color="FF0000"/>
          <w:lang w:val="es-ES_tradnl"/>
        </w:rPr>
        <w:t>ó</w:t>
      </w:r>
      <w:r w:rsidRPr="00E411C0">
        <w:rPr>
          <w:color w:val="auto"/>
          <w:sz w:val="24"/>
          <w:szCs w:val="24"/>
          <w:u w:color="FF0000"/>
        </w:rPr>
        <w:t>rych w ostatnich 12 miesiącach świadczył usługi. Wykaz powinien zawierać co najmniej Nazwę instytucji, NIP, zakres oraz okres świadczenia usługi.</w:t>
      </w:r>
    </w:p>
    <w:p w14:paraId="10EB9619" w14:textId="4EC538CF" w:rsidR="00DD7D3A" w:rsidRPr="00E411C0" w:rsidRDefault="00836815" w:rsidP="00E411C0">
      <w:pPr>
        <w:numPr>
          <w:ilvl w:val="2"/>
          <w:numId w:val="3"/>
        </w:numPr>
        <w:spacing w:before="60"/>
        <w:ind w:left="1843" w:hanging="709"/>
        <w:jc w:val="both"/>
        <w:rPr>
          <w:color w:val="auto"/>
          <w:sz w:val="24"/>
          <w:szCs w:val="24"/>
          <w:u w:color="FF0000"/>
        </w:rPr>
      </w:pPr>
      <w:r w:rsidRPr="00E411C0">
        <w:rPr>
          <w:sz w:val="24"/>
          <w:szCs w:val="24"/>
        </w:rPr>
        <w:lastRenderedPageBreak/>
        <w:t>Zamawiający wymaga spełnienia standard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 bezpieczeństwa w zakresie zgodności z wytycznymi do Rozporządzenie Prezesa Rady Ministr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 z dnia 30 grudnia 2020 r. w sprawie sposobu sporządzania i przekazywania informacji oraz wymagań technicznych dla dokument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 elektronicznych oraz środk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 komunikacji elektronicznej w postępowaniu o udzielenie zam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wienia publicznego lub konkursie poprzez posiadanie certyfikatu ISO 27001 wydany przez akredytowaną jednostkę lub rozwiązanie r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wnoważne. W przypadku rozwiązania r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wnoważnego Wykonawca musi udowodnić, że wdrożone przez niego rozwiązanie jest r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wnoważne i zostało dodatkowo potwierdzone przez niezależną jednostkę, kt</w:t>
      </w:r>
      <w:r w:rsidRPr="00E411C0">
        <w:rPr>
          <w:sz w:val="24"/>
          <w:szCs w:val="24"/>
          <w:lang w:val="es-ES_tradnl"/>
        </w:rPr>
        <w:t>ó</w:t>
      </w:r>
      <w:r w:rsidRPr="00E411C0">
        <w:rPr>
          <w:sz w:val="24"/>
          <w:szCs w:val="24"/>
        </w:rPr>
        <w:t>ra specjalizuje się w audytach i kontroluje wdrożone rozwiązanie.</w:t>
      </w:r>
      <w:bookmarkEnd w:id="4"/>
      <w:r w:rsidR="000B6277">
        <w:rPr>
          <w:sz w:val="24"/>
          <w:szCs w:val="24"/>
        </w:rPr>
        <w:t xml:space="preserve"> Zamawiający wymaga załączenia kopii certyfikatu.</w:t>
      </w:r>
    </w:p>
    <w:p w14:paraId="010F1784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Wytyczne w zakresie złożenia oferty</w:t>
      </w:r>
    </w:p>
    <w:p w14:paraId="3B05C4D2" w14:textId="77777777" w:rsidR="00DD7D3A" w:rsidRDefault="008368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złożyć tylko jedną </w:t>
      </w:r>
      <w:r>
        <w:rPr>
          <w:sz w:val="24"/>
          <w:szCs w:val="24"/>
          <w:lang w:val="pt-PT"/>
        </w:rPr>
        <w:t>ofert</w:t>
      </w:r>
      <w:r>
        <w:rPr>
          <w:sz w:val="24"/>
          <w:szCs w:val="24"/>
        </w:rPr>
        <w:t>ę. Złożenie większej liczby ofert lub oferty zawierającej rozwiązania alternatywne lub oferty wariantowej, spowoduje odrzucenie wszystkich ofert złożonych przez danego Wykonawcę. Za 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wnoznaczne ze złożeniem więcej niż jednej oferty przez tego samego Wykonawcę zostanie uznana sytuacja,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ten sam podmiot występuje w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ch lub więcej ofertach składanych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lnie lub jest samodzielnym Wykonawcą, a jednocześnie jest uczestnikiem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lnej oferty.</w:t>
      </w:r>
    </w:p>
    <w:p w14:paraId="675C8A06" w14:textId="77777777" w:rsidR="00DD7D3A" w:rsidRDefault="00DD7D3A">
      <w:pPr>
        <w:jc w:val="both"/>
        <w:rPr>
          <w:b/>
          <w:bCs/>
          <w:sz w:val="24"/>
          <w:szCs w:val="24"/>
        </w:rPr>
      </w:pPr>
    </w:p>
    <w:p w14:paraId="6427F666" w14:textId="77777777" w:rsidR="00DD7D3A" w:rsidRPr="000B6277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bookmarkStart w:id="5" w:name="_khg51sitprmy"/>
      <w:r w:rsidRPr="000B6277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Miejsce i termin składania ofert</w:t>
      </w:r>
    </w:p>
    <w:p w14:paraId="6C24884F" w14:textId="5A7EAF39" w:rsidR="00DD7D3A" w:rsidRPr="000B6277" w:rsidRDefault="00836815">
      <w:pPr>
        <w:numPr>
          <w:ilvl w:val="1"/>
          <w:numId w:val="3"/>
        </w:numPr>
        <w:jc w:val="both"/>
        <w:rPr>
          <w:color w:val="auto"/>
          <w:sz w:val="24"/>
          <w:szCs w:val="24"/>
          <w:u w:color="FF0000"/>
        </w:rPr>
      </w:pPr>
      <w:r w:rsidRPr="000B6277">
        <w:rPr>
          <w:color w:val="auto"/>
          <w:sz w:val="24"/>
          <w:szCs w:val="24"/>
          <w:u w:color="FF0000"/>
        </w:rPr>
        <w:t xml:space="preserve">Ofertę wraz z załącznikami należy złożyć w postaci elektronicznej </w:t>
      </w:r>
      <w:r w:rsidR="000B6277">
        <w:rPr>
          <w:color w:val="auto"/>
          <w:sz w:val="24"/>
          <w:szCs w:val="24"/>
          <w:u w:color="FF0000"/>
        </w:rPr>
        <w:t xml:space="preserve">poprzez platformę zakupową </w:t>
      </w:r>
      <w:r w:rsidRPr="000B6277">
        <w:rPr>
          <w:color w:val="auto"/>
          <w:sz w:val="24"/>
          <w:szCs w:val="24"/>
          <w:u w:color="FF0000"/>
        </w:rPr>
        <w:t xml:space="preserve">do dnia </w:t>
      </w:r>
      <w:r w:rsidR="000B6277">
        <w:rPr>
          <w:color w:val="auto"/>
          <w:sz w:val="24"/>
          <w:szCs w:val="24"/>
          <w:u w:color="FF0000"/>
        </w:rPr>
        <w:t>08 kwietnia 2020 r. do godziny 12:00</w:t>
      </w:r>
      <w:r w:rsidRPr="000B6277">
        <w:rPr>
          <w:color w:val="auto"/>
          <w:sz w:val="24"/>
          <w:szCs w:val="24"/>
          <w:u w:color="FF0000"/>
        </w:rPr>
        <w:t xml:space="preserve">. </w:t>
      </w:r>
    </w:p>
    <w:p w14:paraId="508E360F" w14:textId="77F4250E" w:rsidR="00DD7D3A" w:rsidRPr="000B6277" w:rsidRDefault="00836815">
      <w:pPr>
        <w:numPr>
          <w:ilvl w:val="1"/>
          <w:numId w:val="5"/>
        </w:numPr>
        <w:jc w:val="both"/>
        <w:rPr>
          <w:color w:val="auto"/>
          <w:sz w:val="24"/>
          <w:szCs w:val="24"/>
        </w:rPr>
      </w:pPr>
      <w:r w:rsidRPr="000B6277">
        <w:rPr>
          <w:color w:val="auto"/>
          <w:sz w:val="24"/>
          <w:szCs w:val="24"/>
        </w:rPr>
        <w:t xml:space="preserve">Otwarcie ofert nastąpi w dniu </w:t>
      </w:r>
      <w:r w:rsidR="000B6277">
        <w:rPr>
          <w:color w:val="auto"/>
          <w:sz w:val="24"/>
          <w:szCs w:val="24"/>
          <w:u w:color="FF0000"/>
        </w:rPr>
        <w:t xml:space="preserve">08 kwietnia 2020 r. </w:t>
      </w:r>
      <w:r w:rsidRPr="000B6277">
        <w:rPr>
          <w:color w:val="auto"/>
          <w:sz w:val="24"/>
          <w:szCs w:val="24"/>
        </w:rPr>
        <w:t>o godzinie 1</w:t>
      </w:r>
      <w:r w:rsidR="000B6277">
        <w:rPr>
          <w:color w:val="auto"/>
          <w:sz w:val="24"/>
          <w:szCs w:val="24"/>
        </w:rPr>
        <w:t>2</w:t>
      </w:r>
      <w:r w:rsidRPr="000B6277">
        <w:rPr>
          <w:color w:val="auto"/>
          <w:sz w:val="24"/>
          <w:szCs w:val="24"/>
        </w:rPr>
        <w:t>:</w:t>
      </w:r>
      <w:r w:rsidR="000B6277">
        <w:rPr>
          <w:color w:val="auto"/>
          <w:sz w:val="24"/>
          <w:szCs w:val="24"/>
        </w:rPr>
        <w:t>05</w:t>
      </w:r>
      <w:r w:rsidRPr="000B6277">
        <w:rPr>
          <w:color w:val="auto"/>
          <w:sz w:val="24"/>
          <w:szCs w:val="24"/>
        </w:rPr>
        <w:t>.</w:t>
      </w:r>
    </w:p>
    <w:p w14:paraId="7ABCC4EC" w14:textId="77777777" w:rsidR="00DD7D3A" w:rsidRPr="000B6277" w:rsidRDefault="00836815">
      <w:pPr>
        <w:numPr>
          <w:ilvl w:val="1"/>
          <w:numId w:val="5"/>
        </w:numPr>
        <w:jc w:val="both"/>
        <w:rPr>
          <w:color w:val="auto"/>
          <w:sz w:val="24"/>
          <w:szCs w:val="24"/>
        </w:rPr>
      </w:pPr>
      <w:r w:rsidRPr="000B6277">
        <w:rPr>
          <w:color w:val="auto"/>
          <w:sz w:val="24"/>
          <w:szCs w:val="24"/>
        </w:rPr>
        <w:t xml:space="preserve">Wykonawca może wprowadzić zmiany lub wycofać złożoną </w:t>
      </w:r>
      <w:r w:rsidRPr="000B6277">
        <w:rPr>
          <w:color w:val="auto"/>
          <w:sz w:val="24"/>
          <w:szCs w:val="24"/>
          <w:lang w:val="pt-PT"/>
        </w:rPr>
        <w:t>ofert</w:t>
      </w:r>
      <w:r w:rsidRPr="000B6277">
        <w:rPr>
          <w:color w:val="auto"/>
          <w:sz w:val="24"/>
          <w:szCs w:val="24"/>
        </w:rPr>
        <w:t xml:space="preserve">ę przed upływem terminu składania ofert. </w:t>
      </w:r>
    </w:p>
    <w:p w14:paraId="36DB8C05" w14:textId="77777777" w:rsidR="00DD7D3A" w:rsidRPr="000B6277" w:rsidRDefault="00836815">
      <w:pPr>
        <w:numPr>
          <w:ilvl w:val="1"/>
          <w:numId w:val="5"/>
        </w:numPr>
        <w:jc w:val="both"/>
        <w:rPr>
          <w:color w:val="auto"/>
          <w:sz w:val="24"/>
          <w:szCs w:val="24"/>
        </w:rPr>
      </w:pPr>
      <w:r w:rsidRPr="000B6277">
        <w:rPr>
          <w:color w:val="auto"/>
          <w:sz w:val="24"/>
          <w:szCs w:val="24"/>
        </w:rPr>
        <w:t>Wykonawcy ponoszą wszelkie koszty związane z przygotowaniem i złożeniem oferty.</w:t>
      </w:r>
    </w:p>
    <w:p w14:paraId="1F976014" w14:textId="77777777" w:rsidR="00DD7D3A" w:rsidRPr="000B6277" w:rsidRDefault="00836815">
      <w:pPr>
        <w:numPr>
          <w:ilvl w:val="1"/>
          <w:numId w:val="5"/>
        </w:numPr>
        <w:spacing w:after="60"/>
        <w:jc w:val="both"/>
        <w:rPr>
          <w:color w:val="auto"/>
          <w:sz w:val="24"/>
          <w:szCs w:val="24"/>
        </w:rPr>
      </w:pPr>
      <w:r w:rsidRPr="000B6277">
        <w:rPr>
          <w:color w:val="auto"/>
          <w:sz w:val="24"/>
          <w:szCs w:val="24"/>
        </w:rPr>
        <w:t>Oferty złożone po terminie nie będą rozpatrywane.</w:t>
      </w:r>
      <w:bookmarkEnd w:id="5"/>
    </w:p>
    <w:p w14:paraId="0D4DA4F4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4n5acb3m9"/>
      <w:r>
        <w:rPr>
          <w:rFonts w:ascii="Times New Roman" w:hAnsi="Times New Roman"/>
          <w:b/>
          <w:bCs/>
          <w:sz w:val="24"/>
          <w:szCs w:val="24"/>
        </w:rPr>
        <w:t>Kryteria oraz spos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b oceny ofert</w:t>
      </w:r>
    </w:p>
    <w:p w14:paraId="76BDD544" w14:textId="77777777" w:rsidR="00DD7D3A" w:rsidRDefault="00836815">
      <w:pPr>
        <w:tabs>
          <w:tab w:val="left" w:pos="567"/>
        </w:tabs>
        <w:ind w:lef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Przy wyborze oferty Zamawiający będzie się kierował następującymi kryteriami:</w:t>
      </w:r>
    </w:p>
    <w:p w14:paraId="6BAB8D7B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Cena brutto oferty (C)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>-</w:t>
      </w:r>
      <w:r>
        <w:rPr>
          <w:b/>
          <w:bCs/>
          <w:sz w:val="24"/>
          <w:szCs w:val="24"/>
          <w:lang w:val="it-IT"/>
        </w:rPr>
        <w:tab/>
        <w:t>50%</w:t>
      </w:r>
    </w:p>
    <w:p w14:paraId="2F5FAA96" w14:textId="77777777" w:rsidR="00DD7D3A" w:rsidRDefault="00836815">
      <w:pPr>
        <w:ind w:left="720"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Punktacja w kryterium </w:t>
      </w:r>
      <w:r>
        <w:rPr>
          <w:b/>
          <w:bCs/>
          <w:sz w:val="24"/>
          <w:szCs w:val="24"/>
          <w:lang w:val="it-IT"/>
        </w:rPr>
        <w:t>Cena brutto oferty</w:t>
      </w:r>
      <w:r>
        <w:rPr>
          <w:sz w:val="24"/>
          <w:szCs w:val="24"/>
        </w:rPr>
        <w:t xml:space="preserve"> będzie wynikała z wartości brutto zapisanej w Formularzu oferty. </w:t>
      </w:r>
    </w:p>
    <w:p w14:paraId="041FFC8F" w14:textId="77777777" w:rsidR="00DD7D3A" w:rsidRDefault="00836815">
      <w:pPr>
        <w:ind w:left="720" w:right="98"/>
        <w:jc w:val="both"/>
        <w:rPr>
          <w:sz w:val="24"/>
          <w:szCs w:val="24"/>
        </w:rPr>
      </w:pPr>
      <w:r>
        <w:rPr>
          <w:sz w:val="24"/>
          <w:szCs w:val="24"/>
        </w:rPr>
        <w:t>Ze wszystkich wartości cen Zamawiający przyjmie wartość najmniejszą, jako C minimum (cena oferty najtańszej) do Ci (ceny oferty badanej) stosując następujący wz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r:    </w:t>
      </w:r>
      <w:r>
        <w:rPr>
          <w:sz w:val="24"/>
          <w:szCs w:val="24"/>
        </w:rPr>
        <w:tab/>
      </w:r>
    </w:p>
    <w:p w14:paraId="5A28B90A" w14:textId="77777777" w:rsidR="00DD7D3A" w:rsidRDefault="00836815">
      <w:pPr>
        <w:tabs>
          <w:tab w:val="left" w:pos="360"/>
        </w:tabs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C minimum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(tj. oferty najtańszej)</w:t>
      </w:r>
    </w:p>
    <w:p w14:paraId="674F8C39" w14:textId="77777777" w:rsidR="00DD7D3A" w:rsidRDefault="00836815">
      <w:pPr>
        <w:tabs>
          <w:tab w:val="left" w:pos="360"/>
        </w:tabs>
        <w:ind w:left="709" w:right="98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Cena oferty brutto (C)</w:t>
      </w:r>
      <w:r w:rsidRPr="0038130C">
        <w:rPr>
          <w:sz w:val="24"/>
          <w:szCs w:val="24"/>
        </w:rPr>
        <w:t xml:space="preserve">  = ----------------------------------------- x 50%</w:t>
      </w:r>
    </w:p>
    <w:p w14:paraId="71C34D82" w14:textId="77777777" w:rsidR="00DD7D3A" w:rsidRDefault="00836815">
      <w:pPr>
        <w:tabs>
          <w:tab w:val="left" w:pos="360"/>
        </w:tabs>
        <w:ind w:left="709" w:right="9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Ci (tj. oferty badanej)</w:t>
      </w:r>
    </w:p>
    <w:p w14:paraId="6C815628" w14:textId="77777777" w:rsidR="00DD7D3A" w:rsidRDefault="00DD7D3A">
      <w:pPr>
        <w:ind w:right="98"/>
        <w:rPr>
          <w:sz w:val="24"/>
          <w:szCs w:val="24"/>
          <w:u w:val="single"/>
        </w:rPr>
      </w:pPr>
    </w:p>
    <w:p w14:paraId="38D325F5" w14:textId="77777777" w:rsidR="00DD7D3A" w:rsidRDefault="00836815">
      <w:pPr>
        <w:ind w:right="98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Wykonawca w tym kryterium może otrzymać </w:t>
      </w:r>
      <w:r>
        <w:rPr>
          <w:b/>
          <w:bCs/>
          <w:sz w:val="24"/>
          <w:szCs w:val="24"/>
        </w:rPr>
        <w:t>maksymalnie 50 punkt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w.</w:t>
      </w:r>
    </w:p>
    <w:p w14:paraId="1763F15D" w14:textId="77777777" w:rsidR="00DD7D3A" w:rsidRDefault="00DD7D3A">
      <w:pPr>
        <w:jc w:val="both"/>
        <w:rPr>
          <w:b/>
          <w:bCs/>
          <w:sz w:val="24"/>
          <w:szCs w:val="24"/>
        </w:rPr>
      </w:pPr>
    </w:p>
    <w:p w14:paraId="702F2997" w14:textId="77777777" w:rsidR="00DD7D3A" w:rsidRDefault="00836815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Bezpieczeństwo infrastruktury (B)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ab/>
        <w:t>10 %</w:t>
      </w:r>
    </w:p>
    <w:p w14:paraId="5C5B7785" w14:textId="77777777" w:rsidR="00DD7D3A" w:rsidRDefault="008368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Punktacja w kryterium Bezpieczeństwo infrastruktury (B) będzie wynikała z treści skanu, </w:t>
      </w:r>
      <w:r>
        <w:rPr>
          <w:b/>
          <w:bCs/>
          <w:sz w:val="24"/>
          <w:szCs w:val="24"/>
        </w:rPr>
        <w:t>potwierdzonego za zgodność z oryginałem zaświadczenia</w:t>
      </w:r>
      <w:r>
        <w:rPr>
          <w:sz w:val="24"/>
          <w:szCs w:val="24"/>
        </w:rPr>
        <w:t xml:space="preserve">, że serwerownia główna platformy spełnia </w:t>
      </w:r>
      <w:r w:rsidRPr="0038130C">
        <w:rPr>
          <w:b/>
          <w:bCs/>
          <w:sz w:val="24"/>
          <w:szCs w:val="24"/>
        </w:rPr>
        <w:t>TIER III of Constructed Facility lub 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wnoważny przyznany przez niezależną akredytowaną jednostkę do wydania certyfikatu.</w:t>
      </w:r>
      <w:r>
        <w:rPr>
          <w:sz w:val="24"/>
          <w:szCs w:val="24"/>
        </w:rPr>
        <w:t xml:space="preserve"> Za wskazanie, że serwerownia główna platformy posiada certyfikat TIER III lub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wnoważny Wykonawca otrzyma 10 pkt, a w przypadku braku certyfikatu 0 pkt.</w:t>
      </w:r>
    </w:p>
    <w:p w14:paraId="3C051849" w14:textId="77777777" w:rsidR="00DD7D3A" w:rsidRDefault="00836815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w tym kryterium może otrzymać maksymalnie 10 pkt.</w:t>
      </w:r>
    </w:p>
    <w:p w14:paraId="2A8182BC" w14:textId="77777777" w:rsidR="00DD7D3A" w:rsidRDefault="00DD7D3A">
      <w:pPr>
        <w:tabs>
          <w:tab w:val="left" w:pos="360"/>
        </w:tabs>
        <w:spacing w:line="240" w:lineRule="auto"/>
        <w:jc w:val="both"/>
        <w:rPr>
          <w:sz w:val="24"/>
          <w:szCs w:val="24"/>
        </w:rPr>
      </w:pPr>
    </w:p>
    <w:p w14:paraId="3BCEA052" w14:textId="77777777" w:rsidR="00DD7D3A" w:rsidRDefault="00DD7D3A">
      <w:pPr>
        <w:jc w:val="both"/>
        <w:rPr>
          <w:b/>
          <w:bCs/>
          <w:sz w:val="24"/>
          <w:szCs w:val="24"/>
        </w:rPr>
      </w:pPr>
    </w:p>
    <w:p w14:paraId="00E92C1B" w14:textId="13A89471" w:rsidR="00DD7D3A" w:rsidRPr="000B6277" w:rsidRDefault="00836815" w:rsidP="000B6277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77">
        <w:rPr>
          <w:rFonts w:ascii="Times New Roman" w:hAnsi="Times New Roman" w:cs="Times New Roman"/>
          <w:b/>
          <w:bCs/>
          <w:sz w:val="24"/>
          <w:szCs w:val="24"/>
        </w:rPr>
        <w:t>Ocena funkcjonalności i łatwości obsługi systemu (F) -</w:t>
      </w:r>
      <w:r w:rsidRPr="000B62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277">
        <w:rPr>
          <w:rFonts w:ascii="Times New Roman" w:hAnsi="Times New Roman" w:cs="Times New Roman"/>
          <w:b/>
          <w:bCs/>
          <w:sz w:val="24"/>
          <w:szCs w:val="24"/>
        </w:rPr>
        <w:tab/>
        <w:t>30%</w:t>
      </w:r>
    </w:p>
    <w:p w14:paraId="0C4DB1C6" w14:textId="77777777" w:rsidR="00DD7D3A" w:rsidRDefault="008368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Punktacja w kryterium </w:t>
      </w:r>
      <w:r>
        <w:rPr>
          <w:b/>
          <w:bCs/>
          <w:sz w:val="24"/>
          <w:szCs w:val="24"/>
        </w:rPr>
        <w:t>Ocena funkcjonalności i łatwości obsługi systemu</w:t>
      </w:r>
      <w:r>
        <w:rPr>
          <w:sz w:val="24"/>
          <w:szCs w:val="24"/>
        </w:rPr>
        <w:t xml:space="preserve"> zostanie dokonana przez Zamawiającego na podstawie przeprowadzonej prezentacji zaoferowanego systemu przez Wykonawcę przeprowadzonego </w:t>
      </w:r>
      <w:r>
        <w:rPr>
          <w:b/>
          <w:bCs/>
          <w:sz w:val="24"/>
          <w:szCs w:val="24"/>
        </w:rPr>
        <w:t>w formie prezentacji on-line za pomocą narzędzia/spotkania osobistego</w:t>
      </w:r>
      <w:r>
        <w:rPr>
          <w:sz w:val="24"/>
          <w:szCs w:val="24"/>
        </w:rPr>
        <w:t>.</w:t>
      </w:r>
    </w:p>
    <w:p w14:paraId="1BA9A19F" w14:textId="77777777" w:rsidR="00DD7D3A" w:rsidRDefault="008368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Wraz z przekazaniem informacji z otwarcia ofert Zamawiający losowo wyznaczy termin prezentacji. Termin prezentacji zostanie ustalony przez Zamawiającego w godzinach 9-15. Każdy Wykonawca,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złoży ofertę i nie podlega odrzuceniu w momencie badania ofert zostanie zaproszony do prezentacji. Zamawiający prześle na wskazany w ofercie adres e-mail zaproszenie do prezentacji w aplikacji wskazanej powyżej. Przebieg prezentacji będzie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gł być nagrywany przez Zamawiającego.</w:t>
      </w:r>
    </w:p>
    <w:p w14:paraId="55AA0194" w14:textId="77777777" w:rsidR="00DD7D3A" w:rsidRDefault="008368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Prezentacja będzie polegać na przedstawieniu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praktyczny procesu opublikowania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ch postępowań przetargowych (jedno poniżej prog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UE, drugie powyżej prog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UE) oraz jednego postępowania regulaminowego. </w:t>
      </w:r>
    </w:p>
    <w:p w14:paraId="760B5E6C" w14:textId="77777777" w:rsidR="00DD7D3A" w:rsidRDefault="00DD7D3A">
      <w:pPr>
        <w:ind w:left="567" w:right="98" w:firstLine="152"/>
        <w:jc w:val="both"/>
        <w:rPr>
          <w:sz w:val="24"/>
          <w:szCs w:val="24"/>
        </w:rPr>
      </w:pPr>
    </w:p>
    <w:p w14:paraId="2D323AB0" w14:textId="77777777" w:rsidR="00DD7D3A" w:rsidRDefault="00836815">
      <w:pPr>
        <w:ind w:left="567" w:right="98" w:firstLine="152"/>
        <w:jc w:val="both"/>
        <w:rPr>
          <w:sz w:val="24"/>
          <w:szCs w:val="24"/>
        </w:rPr>
      </w:pPr>
      <w:r>
        <w:rPr>
          <w:sz w:val="24"/>
          <w:szCs w:val="24"/>
        </w:rPr>
        <w:t>Na platformie zostaną wykonane następujące czynnoś</w:t>
      </w:r>
      <w:r>
        <w:rPr>
          <w:sz w:val="24"/>
          <w:szCs w:val="24"/>
          <w:lang w:val="it-IT"/>
        </w:rPr>
        <w:t>ci:</w:t>
      </w:r>
    </w:p>
    <w:p w14:paraId="7B0249AD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Wystawianie postępowania regulaminowego, zgodnego z Pzp w procedurze krajowej oraz unijnej;</w:t>
      </w:r>
    </w:p>
    <w:p w14:paraId="21D16697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Zaproszenie Zamawiającego jako Wykonawcę do ww. postępowań;</w:t>
      </w:r>
    </w:p>
    <w:p w14:paraId="79596254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Zamieszczenie na platformie informacji z otwarcia ofert;</w:t>
      </w:r>
    </w:p>
    <w:p w14:paraId="751E288C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Zamieszczenie na platformie Informacji o wyborze najkorzystniejszej oferty; </w:t>
      </w:r>
    </w:p>
    <w:p w14:paraId="210682C4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Wezwanie do uzupełnień dla wybranego Wykonawcy, kt</w:t>
      </w:r>
      <w:r>
        <w:rPr>
          <w:sz w:val="24"/>
          <w:szCs w:val="24"/>
          <w:lang w:val="es-ES_tradnl"/>
        </w:rPr>
        <w:t>ó</w:t>
      </w:r>
      <w:r w:rsidRPr="0038130C">
        <w:rPr>
          <w:sz w:val="24"/>
          <w:szCs w:val="24"/>
        </w:rPr>
        <w:t>ry b</w:t>
      </w:r>
      <w:r>
        <w:rPr>
          <w:sz w:val="24"/>
          <w:szCs w:val="24"/>
        </w:rPr>
        <w:t>ędzie brał udział w testowym postępowaniu;</w:t>
      </w:r>
    </w:p>
    <w:p w14:paraId="11D34F14" w14:textId="77777777" w:rsidR="00DD7D3A" w:rsidRDefault="00836815">
      <w:pPr>
        <w:numPr>
          <w:ilvl w:val="0"/>
          <w:numId w:val="8"/>
        </w:num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Zmiana termin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postępowania.</w:t>
      </w:r>
    </w:p>
    <w:p w14:paraId="728D7CBE" w14:textId="77777777" w:rsidR="00DD7D3A" w:rsidRPr="000B6277" w:rsidRDefault="00836815">
      <w:pPr>
        <w:numPr>
          <w:ilvl w:val="0"/>
          <w:numId w:val="8"/>
        </w:numPr>
        <w:ind w:right="98"/>
        <w:jc w:val="both"/>
        <w:rPr>
          <w:color w:val="auto"/>
          <w:sz w:val="24"/>
          <w:szCs w:val="24"/>
          <w:u w:color="FF0000"/>
        </w:rPr>
      </w:pPr>
      <w:r w:rsidRPr="000B6277">
        <w:rPr>
          <w:color w:val="auto"/>
          <w:sz w:val="24"/>
          <w:szCs w:val="24"/>
          <w:u w:color="FF0000"/>
        </w:rPr>
        <w:t>Ocena ofert w tym z podziałem na częś</w:t>
      </w:r>
      <w:r w:rsidRPr="000B6277">
        <w:rPr>
          <w:color w:val="auto"/>
          <w:sz w:val="24"/>
          <w:szCs w:val="24"/>
          <w:u w:color="FF0000"/>
          <w:lang w:val="it-IT"/>
        </w:rPr>
        <w:t xml:space="preserve">ci </w:t>
      </w:r>
    </w:p>
    <w:p w14:paraId="38F773FE" w14:textId="77777777" w:rsidR="00DD7D3A" w:rsidRDefault="00836815">
      <w:pPr>
        <w:numPr>
          <w:ilvl w:val="0"/>
          <w:numId w:val="8"/>
        </w:numPr>
        <w:ind w:right="98"/>
        <w:jc w:val="both"/>
        <w:rPr>
          <w:color w:val="auto"/>
          <w:sz w:val="24"/>
          <w:szCs w:val="24"/>
          <w:u w:color="FF0000"/>
        </w:rPr>
      </w:pPr>
      <w:r w:rsidRPr="000B6277">
        <w:rPr>
          <w:color w:val="auto"/>
          <w:sz w:val="24"/>
          <w:szCs w:val="24"/>
          <w:u w:color="FF0000"/>
        </w:rPr>
        <w:t>Akceptacja dokument</w:t>
      </w:r>
      <w:r w:rsidRPr="000B6277">
        <w:rPr>
          <w:color w:val="auto"/>
          <w:sz w:val="24"/>
          <w:szCs w:val="24"/>
          <w:u w:color="FF0000"/>
          <w:lang w:val="es-ES_tradnl"/>
        </w:rPr>
        <w:t>ó</w:t>
      </w:r>
      <w:r w:rsidRPr="000B6277">
        <w:rPr>
          <w:color w:val="auto"/>
          <w:sz w:val="24"/>
          <w:szCs w:val="24"/>
          <w:u w:color="FF0000"/>
        </w:rPr>
        <w:t xml:space="preserve">w – ścieżka akceptacyjna – np. Czynności zastrzeżonych dla kierownika zamawiającego. </w:t>
      </w:r>
    </w:p>
    <w:p w14:paraId="0EFC19A8" w14:textId="2CE965CE" w:rsidR="000B6277" w:rsidRPr="000B6277" w:rsidRDefault="000B6277">
      <w:pPr>
        <w:numPr>
          <w:ilvl w:val="0"/>
          <w:numId w:val="8"/>
        </w:numPr>
        <w:ind w:right="98"/>
        <w:jc w:val="both"/>
        <w:rPr>
          <w:color w:val="auto"/>
          <w:sz w:val="24"/>
          <w:szCs w:val="24"/>
          <w:u w:color="FF0000"/>
        </w:rPr>
      </w:pPr>
      <w:r>
        <w:rPr>
          <w:color w:val="auto"/>
          <w:sz w:val="24"/>
          <w:szCs w:val="24"/>
          <w:u w:color="FF0000"/>
        </w:rPr>
        <w:t>Przejrzystość wprowadzonych danych, możliwość bieżącego monitorowania treści wprowadzonych danych. Kontrola i podgląd całości postępowania przed jego upublicznienia.</w:t>
      </w:r>
    </w:p>
    <w:p w14:paraId="0829B191" w14:textId="77777777" w:rsidR="00DD7D3A" w:rsidRDefault="00836815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wezwania do uzupełnień zostanie wygenerowany raport potwierdzający datę wysłania wiadomości oraz informacji czy wiadomość została dostarczona na serwer oraz potwierdzenie daty odczytania wiadomości przez Wykonawcę.</w:t>
      </w:r>
    </w:p>
    <w:p w14:paraId="428DB66E" w14:textId="77777777" w:rsidR="00DD7D3A" w:rsidRDefault="00836815">
      <w:pPr>
        <w:tabs>
          <w:tab w:val="left" w:pos="360"/>
        </w:tabs>
        <w:ind w:left="1260" w:hanging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Przewidywany i rekomendowany czas prezentacji - 45 min.</w:t>
      </w:r>
    </w:p>
    <w:p w14:paraId="519C80FD" w14:textId="77777777" w:rsidR="00DD7D3A" w:rsidRDefault="00836815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 przeprowadzeniu prezentacji Ocena funkcjonalności i łatwości obsługi systemu (F) zostanie przydzielona według następujących kryteri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opisanych:</w:t>
      </w:r>
    </w:p>
    <w:tbl>
      <w:tblPr>
        <w:tblStyle w:val="TableNormal"/>
        <w:tblW w:w="8700" w:type="dxa"/>
        <w:tblInd w:w="6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70"/>
        <w:gridCol w:w="1530"/>
      </w:tblGrid>
      <w:tr w:rsidR="00DD7D3A" w14:paraId="7B21CA5D" w14:textId="77777777">
        <w:trPr>
          <w:trHeight w:val="323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D3A61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Kryteria funkcjonalności i łatwości obsługi systemu (F)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9E97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it-IT"/>
              </w:rPr>
              <w:t>Ocena</w:t>
            </w:r>
          </w:p>
        </w:tc>
      </w:tr>
      <w:tr w:rsidR="00DD7D3A" w14:paraId="694252A6" w14:textId="77777777">
        <w:trPr>
          <w:trHeight w:val="90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44E0" w14:textId="77777777" w:rsidR="00DD7D3A" w:rsidRDefault="00836815">
            <w:pPr>
              <w:tabs>
                <w:tab w:val="left" w:pos="1800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Niespełnienie jednego wymagania opisanego w OPZ, które może być zweryfikowane losowo przez Zamawiającego w trakcie prezentacji lub po jej zakończeniu.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81F37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D7D3A" w14:paraId="62CF3EEC" w14:textId="77777777">
        <w:trPr>
          <w:trHeight w:val="150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AA0F" w14:textId="77777777" w:rsidR="00DD7D3A" w:rsidRDefault="00836815">
            <w:pPr>
              <w:tabs>
                <w:tab w:val="left" w:pos="1800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System pozwala przejść proces opublikowania postępowania przetargowego.</w:t>
            </w:r>
          </w:p>
          <w:p w14:paraId="60ADCFAC" w14:textId="77777777" w:rsidR="00DD7D3A" w:rsidRDefault="00836815">
            <w:pPr>
              <w:tabs>
                <w:tab w:val="left" w:pos="1800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Interfejs systemu jest mało przejrzysty ale odpowiada słownikowi ustawy Prawo zamówień publicznych. System pozwala na ładowanie ograniczonej ilości plików i objętości poniżej 150 MB.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EB9B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D7D3A" w14:paraId="0BBBCE05" w14:textId="77777777">
        <w:trPr>
          <w:trHeight w:val="180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DC49E" w14:textId="77777777" w:rsidR="00DD7D3A" w:rsidRDefault="00836815">
            <w:pPr>
              <w:tabs>
                <w:tab w:val="left" w:pos="1800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System pozwala przejść proces opublikowania postępowania przetargowego. Ilość krok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 w procesie jest duża, co nie wpływa na łatwość obsługi systemu. Interfejs systemu odpowiada słownikowi ustawy Prawo zam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wień publicznych. Spos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b prezentacji danych jest poprawny. System pozwala na ładowanie ograniczonej ilości plik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 i objętości powyżej 150 MB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B5EA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D3A" w14:paraId="4D296531" w14:textId="77777777">
        <w:trPr>
          <w:trHeight w:val="270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3A9B" w14:textId="77777777" w:rsidR="00DD7D3A" w:rsidRDefault="00836815">
            <w:pPr>
              <w:spacing w:before="100" w:line="240" w:lineRule="auto"/>
              <w:jc w:val="both"/>
            </w:pPr>
            <w:r>
              <w:rPr>
                <w:sz w:val="24"/>
                <w:szCs w:val="24"/>
              </w:rPr>
              <w:t>System w sposób prosty pozwala przejść proces opublikowania postępowania przetargowego. Interfejs systemu jest przejrzysty i odpowiada słownikowi ustawy Prawo zamówień publicznych. System pozwala na ładowanie po stronie Zamawiającego plików i objętości powyżej 150 MB dla jednego pliku i minimum 1GB dla sumy plików. Zamawiający w tym kryterium szczególną uwagę zwraca na prostotę systemu oraz ilość kliknięć, aby wykonać akcję w systemie zgodnie z zaplanowanym scenariuszem, np. łatwą zmianę terminów złożenia oferty i publicznego otwarcia.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2D43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D7D3A" w14:paraId="1A2A5294" w14:textId="77777777">
        <w:trPr>
          <w:trHeight w:val="3043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DA66" w14:textId="77777777" w:rsidR="00DD7D3A" w:rsidRDefault="00836815">
            <w:pPr>
              <w:spacing w:before="1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w spos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b prosty pozwala przejść proces opublikowania postępowania przetargowego. Mała ilość krok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 w procesie wpływa na łatwość obsługi. Interfejs systemu jest przejrzysty i odpowiada słownikowi ustawy Prawo zam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wień publicznych. Spos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b prezentacji danych zwiększa przejrzystość publikowanych informacji. Komunikaty są jednoznacznie oznaczone i precyzyjne. System pozwala na ładowanie po stronie Zamawiającego plik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 i objętości powyżej 150 MB dla jednego pliku i minimum 1GB dla sumy plik</w:t>
            </w:r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w.</w:t>
            </w:r>
          </w:p>
          <w:p w14:paraId="6F964D79" w14:textId="77777777" w:rsidR="00DD7D3A" w:rsidRDefault="00836815">
            <w:pPr>
              <w:ind w:right="98"/>
              <w:jc w:val="both"/>
            </w:pPr>
            <w:r w:rsidRPr="00567D76">
              <w:rPr>
                <w:color w:val="auto"/>
                <w:sz w:val="24"/>
                <w:szCs w:val="24"/>
                <w:u w:color="FF0000"/>
                <w:lang w:val="pt-PT"/>
              </w:rPr>
              <w:t>System umo</w:t>
            </w:r>
            <w:r w:rsidRPr="00567D76">
              <w:rPr>
                <w:color w:val="auto"/>
                <w:sz w:val="24"/>
                <w:szCs w:val="24"/>
                <w:u w:color="FF0000"/>
              </w:rPr>
              <w:t>żliwia ocena ofert w tym z podziałem na części, posiada ścieżki akceptacji dokument</w:t>
            </w:r>
            <w:r w:rsidRPr="00567D76">
              <w:rPr>
                <w:color w:val="auto"/>
                <w:sz w:val="24"/>
                <w:szCs w:val="24"/>
                <w:u w:color="FF0000"/>
                <w:lang w:val="es-ES_tradnl"/>
              </w:rPr>
              <w:t>ó</w:t>
            </w:r>
            <w:r w:rsidRPr="00567D76">
              <w:rPr>
                <w:color w:val="auto"/>
                <w:sz w:val="24"/>
                <w:szCs w:val="24"/>
                <w:u w:color="FF0000"/>
              </w:rPr>
              <w:t xml:space="preserve">w.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13AA" w14:textId="77777777" w:rsidR="00DD7D3A" w:rsidRDefault="00836815">
            <w:pPr>
              <w:tabs>
                <w:tab w:val="left" w:pos="1800"/>
              </w:tabs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64AEA7F1" w14:textId="77777777" w:rsidR="00DD7D3A" w:rsidRDefault="00DD7D3A">
      <w:pPr>
        <w:widowControl w:val="0"/>
        <w:tabs>
          <w:tab w:val="left" w:pos="360"/>
        </w:tabs>
        <w:spacing w:line="240" w:lineRule="auto"/>
        <w:ind w:left="570" w:hanging="570"/>
        <w:jc w:val="both"/>
        <w:rPr>
          <w:sz w:val="24"/>
          <w:szCs w:val="24"/>
        </w:rPr>
      </w:pPr>
    </w:p>
    <w:p w14:paraId="1B6DC0E3" w14:textId="77777777" w:rsidR="00DD7D3A" w:rsidRDefault="00DD7D3A">
      <w:pPr>
        <w:tabs>
          <w:tab w:val="left" w:pos="360"/>
          <w:tab w:val="left" w:pos="1800"/>
        </w:tabs>
        <w:ind w:left="540"/>
        <w:jc w:val="both"/>
        <w:rPr>
          <w:sz w:val="24"/>
          <w:szCs w:val="24"/>
        </w:rPr>
      </w:pPr>
    </w:p>
    <w:p w14:paraId="5C8D935D" w14:textId="77777777" w:rsidR="00DD7D3A" w:rsidRDefault="00836815">
      <w:pPr>
        <w:ind w:right="98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Wykonawca w tym kryterium może otrzymać </w:t>
      </w:r>
      <w:r>
        <w:rPr>
          <w:b/>
          <w:bCs/>
          <w:sz w:val="24"/>
          <w:szCs w:val="24"/>
        </w:rPr>
        <w:t>maksymalnie 30 punkt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w. </w:t>
      </w:r>
    </w:p>
    <w:p w14:paraId="3E5B3AE4" w14:textId="77777777" w:rsidR="00DD7D3A" w:rsidRDefault="00836815">
      <w:pPr>
        <w:ind w:right="98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>Oceny dokona zespół składający się minimum z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ch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na indywidualnych arkuszach oceny oddzielnie dla każdego rodzaju postępowania (poniżej 130.000 zł, poniżej i powyżej prog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unijnych).  Ostateczna ilość pkt zostanie wyliczona jako średnia arytmetyczna punkt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przyznanych przez poszczeg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lnych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zespołu i poszczeg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lnych procedur. </w:t>
      </w:r>
    </w:p>
    <w:p w14:paraId="4CEF0A14" w14:textId="77777777" w:rsidR="00DD7D3A" w:rsidRDefault="00DD7D3A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14:paraId="09628586" w14:textId="37B62DCC" w:rsidR="00DD7D3A" w:rsidRPr="00567D76" w:rsidRDefault="00836815" w:rsidP="00A87CA4">
      <w:pPr>
        <w:pStyle w:val="Akapitzlist"/>
        <w:numPr>
          <w:ilvl w:val="1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D76">
        <w:rPr>
          <w:rFonts w:ascii="Times New Roman" w:hAnsi="Times New Roman" w:cs="Times New Roman"/>
          <w:b/>
          <w:bCs/>
          <w:sz w:val="24"/>
          <w:szCs w:val="24"/>
        </w:rPr>
        <w:t>Ocena badanych ofert</w:t>
      </w:r>
    </w:p>
    <w:p w14:paraId="23A91A82" w14:textId="77777777" w:rsidR="00DD7D3A" w:rsidRDefault="00836815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zostanie wybrana oferta,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otrzyma największą ilość punkt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łącznej punktacji:</w:t>
      </w:r>
    </w:p>
    <w:p w14:paraId="296AA2E0" w14:textId="77777777" w:rsidR="00DD7D3A" w:rsidRDefault="00836815">
      <w:pPr>
        <w:tabs>
          <w:tab w:val="left" w:pos="360"/>
        </w:tabs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Suma punkt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Wykonawcy = C + B + A + F</w:t>
      </w:r>
    </w:p>
    <w:p w14:paraId="7B779D07" w14:textId="77777777" w:rsidR="00DD7D3A" w:rsidRDefault="00836815">
      <w:pPr>
        <w:tabs>
          <w:tab w:val="left" w:pos="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przypadku, gdy najkorzystniejsze oferty uzyskają taką sama ilość punkt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Zamawiający wybierze ofertę z najwyższą oceną funkcjonalności systemu i prostoty obsługi.</w:t>
      </w:r>
      <w:bookmarkEnd w:id="6"/>
    </w:p>
    <w:p w14:paraId="36D01526" w14:textId="77777777" w:rsidR="00DD7D3A" w:rsidRDefault="00836815" w:rsidP="00A87CA4">
      <w:pPr>
        <w:pStyle w:val="Nagwek1"/>
        <w:numPr>
          <w:ilvl w:val="0"/>
          <w:numId w:val="10"/>
        </w:numPr>
        <w:spacing w:before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y9b5n1d1987"/>
      <w:r>
        <w:rPr>
          <w:rFonts w:ascii="Times New Roman" w:hAnsi="Times New Roman"/>
          <w:sz w:val="24"/>
          <w:szCs w:val="24"/>
        </w:rPr>
        <w:t>Zamawiający przew</w:t>
      </w:r>
      <w:bookmarkStart w:id="8" w:name="_GoBack"/>
      <w:bookmarkEnd w:id="8"/>
      <w:r>
        <w:rPr>
          <w:rFonts w:ascii="Times New Roman" w:hAnsi="Times New Roman"/>
          <w:sz w:val="24"/>
          <w:szCs w:val="24"/>
        </w:rPr>
        <w:t>iduje przed wyborem oferty najkorzystniejszej skorzystania z  możliwości przeprowadzenie negocjacji w celu ulepszenia ofert.</w:t>
      </w:r>
    </w:p>
    <w:p w14:paraId="67C8132A" w14:textId="77777777" w:rsidR="00DD7D3A" w:rsidRDefault="00836815">
      <w:pPr>
        <w:pStyle w:val="Nagwek1"/>
        <w:numPr>
          <w:ilvl w:val="1"/>
          <w:numId w:val="10"/>
        </w:numPr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ewentualnych negocjacji Zamawiający zaprosi maksymalnie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rzy uzyskają najwyższą ocenę punktowa z ocenie zgodnie kryteriami oceny ofert.  </w:t>
      </w:r>
    </w:p>
    <w:p w14:paraId="01943397" w14:textId="77777777" w:rsidR="00DD7D3A" w:rsidRDefault="00836815">
      <w:pPr>
        <w:pStyle w:val="Akapitzlist"/>
        <w:numPr>
          <w:ilvl w:val="1"/>
          <w:numId w:val="11"/>
        </w:numPr>
      </w:pPr>
      <w:r>
        <w:rPr>
          <w:rFonts w:ascii="Times New Roman" w:hAnsi="Times New Roman"/>
        </w:rPr>
        <w:t xml:space="preserve">Przeprowadzenie negocjacji jest uprawnieniem Zamawiającego i nie jest obowiązkowe. </w:t>
      </w:r>
    </w:p>
    <w:p w14:paraId="2D8BC89A" w14:textId="77777777" w:rsidR="00DD7D3A" w:rsidRDefault="00836815">
      <w:pPr>
        <w:pStyle w:val="Nagwek1"/>
        <w:numPr>
          <w:ilvl w:val="0"/>
          <w:numId w:val="2"/>
        </w:numPr>
        <w:spacing w:befor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 w14:paraId="669B7DE2" w14:textId="77777777" w:rsidR="00DD7D3A" w:rsidRDefault="00836815" w:rsidP="00567D76">
      <w:pPr>
        <w:numPr>
          <w:ilvl w:val="1"/>
          <w:numId w:val="3"/>
        </w:numPr>
        <w:spacing w:line="240" w:lineRule="auto"/>
        <w:ind w:left="1276" w:hanging="585"/>
        <w:jc w:val="both"/>
        <w:rPr>
          <w:sz w:val="24"/>
          <w:szCs w:val="24"/>
        </w:rPr>
      </w:pPr>
      <w:r>
        <w:rPr>
          <w:sz w:val="24"/>
          <w:szCs w:val="24"/>
        </w:rPr>
        <w:t>Zamawiający, jako administrator danych osobowych obowiązany jest do spełnienia obowiązku informacyjnego z art. 13 rozporządzenia Parlamentu Europejskiego i Rady (UE) 2016/679 z dnia 27 kwietnia 2016 r. w sprawie ochrony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fizycznych w związku z przetwarzaniem danych osobowych i w sprawie swobodnego przepływu takich danych oraz uchylenia dyrektywy 95/46/WE (og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lne rozporządzenie o ochronie danych) (Dz. Urz. UE L  z 4 maja 2016 r. nr 119/1 z późn. zm.), dalej „</w:t>
      </w:r>
      <w:r>
        <w:rPr>
          <w:sz w:val="24"/>
          <w:szCs w:val="24"/>
          <w:lang w:val="es-ES_tradnl"/>
        </w:rPr>
        <w:t>RODO</w:t>
      </w:r>
      <w:r>
        <w:rPr>
          <w:sz w:val="24"/>
          <w:szCs w:val="24"/>
        </w:rPr>
        <w:t>”, wzglę</w:t>
      </w:r>
      <w:r>
        <w:rPr>
          <w:sz w:val="24"/>
          <w:szCs w:val="24"/>
          <w:lang w:val="pt-PT"/>
        </w:rPr>
        <w:t>dem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fizycznych, od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dane osobowe bezpośrednio pozyskał. Dotyczy to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r>
        <w:rPr>
          <w:sz w:val="24"/>
          <w:szCs w:val="24"/>
          <w:lang w:val="it-IT"/>
        </w:rPr>
        <w:t>ci:</w:t>
      </w:r>
    </w:p>
    <w:p w14:paraId="76392672" w14:textId="77777777" w:rsidR="00DD7D3A" w:rsidRDefault="00836815" w:rsidP="00567D76">
      <w:pPr>
        <w:numPr>
          <w:ilvl w:val="2"/>
          <w:numId w:val="12"/>
        </w:numPr>
        <w:spacing w:line="240" w:lineRule="auto"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Wykonawcy będącego osobą fizyczną;</w:t>
      </w:r>
    </w:p>
    <w:p w14:paraId="0984D5C2" w14:textId="77777777" w:rsidR="00DD7D3A" w:rsidRDefault="00836815" w:rsidP="00567D76">
      <w:pPr>
        <w:numPr>
          <w:ilvl w:val="2"/>
          <w:numId w:val="12"/>
        </w:numPr>
        <w:spacing w:line="240" w:lineRule="auto"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Wykonawcy będącego osobą fizyczną, prowadzącą jednoosobową działalność gospodarczą;</w:t>
      </w:r>
    </w:p>
    <w:p w14:paraId="48092E25" w14:textId="77777777" w:rsidR="00DD7D3A" w:rsidRDefault="00836815" w:rsidP="00567D76">
      <w:pPr>
        <w:numPr>
          <w:ilvl w:val="2"/>
          <w:numId w:val="12"/>
        </w:numPr>
        <w:spacing w:line="240" w:lineRule="auto"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Pełnomocnika Podwykonawcy będącego osobą fizyczną (np. dane osobowe zamieszczone w pełnomocnictwie);</w:t>
      </w:r>
    </w:p>
    <w:p w14:paraId="233C23E6" w14:textId="77777777" w:rsidR="00DD7D3A" w:rsidRDefault="00836815" w:rsidP="00567D76">
      <w:pPr>
        <w:numPr>
          <w:ilvl w:val="2"/>
          <w:numId w:val="12"/>
        </w:numPr>
        <w:spacing w:line="240" w:lineRule="auto"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Członka organu zarządzającego Podwykonawcy będącego osobą fizyczną (np. dane osobowe zamieszczone w informacji z KRK);</w:t>
      </w:r>
    </w:p>
    <w:p w14:paraId="5539FBF4" w14:textId="77777777" w:rsidR="00DD7D3A" w:rsidRDefault="00836815" w:rsidP="00567D76">
      <w:pPr>
        <w:numPr>
          <w:ilvl w:val="2"/>
          <w:numId w:val="12"/>
        </w:numPr>
        <w:spacing w:line="240" w:lineRule="auto"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>Osoby fizycznej skierowanej do realizacji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wienia.</w:t>
      </w:r>
    </w:p>
    <w:p w14:paraId="4412CCAB" w14:textId="77777777" w:rsidR="00567D76" w:rsidRPr="00607D59" w:rsidRDefault="00567D76" w:rsidP="00567D76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607D59">
        <w:rPr>
          <w:rFonts w:ascii="Times New Roman" w:eastAsia="Arial" w:hAnsi="Times New Roman" w:cs="Times New Roman"/>
          <w:sz w:val="24"/>
          <w:szCs w:val="24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95/46/WE (ogólne Rozporządzenie o ochronie danych) dalej zw. RODO informuje się, że: 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a) Administratorem Pani/Pana danych osobowych jest Akademia Wychowania Fizycznego we Wrocławiu, al. Ignacego Jana Paderewskiego 35, 51-612 Wrocław;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 xml:space="preserve">b) prawidłowość przetwarzania danych osobowych nadzoruje inspektor ochrony danych, z którym można skontaktować się za pośrednictwem adresu e-mail: </w:t>
      </w:r>
      <w:hyperlink r:id="rId7">
        <w:r w:rsidRPr="00607D59">
          <w:rPr>
            <w:rFonts w:ascii="Times New Roman" w:eastAsia="Arial" w:hAnsi="Times New Roman" w:cs="Times New Roman"/>
            <w:sz w:val="24"/>
            <w:szCs w:val="24"/>
            <w:u w:val="single"/>
          </w:rPr>
          <w:t>iod@awf.wroc.pl</w:t>
        </w:r>
      </w:hyperlink>
      <w:r w:rsidRPr="00607D59">
        <w:rPr>
          <w:rFonts w:ascii="Times New Roman" w:eastAsia="Arial" w:hAnsi="Times New Roman" w:cs="Times New Roman"/>
          <w:sz w:val="24"/>
          <w:szCs w:val="24"/>
        </w:rPr>
        <w:t>;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c) Pani/Pana dane osobowe przetwarzane będą na podstawie art. 6 ust. 1 lit. c</w:t>
      </w:r>
      <w:r w:rsidRPr="00607D5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607D59">
        <w:rPr>
          <w:rFonts w:ascii="Times New Roman" w:eastAsia="Arial" w:hAnsi="Times New Roman" w:cs="Times New Roman"/>
          <w:sz w:val="24"/>
          <w:szCs w:val="24"/>
        </w:rPr>
        <w:t xml:space="preserve">RODO w </w:t>
      </w:r>
      <w:r w:rsidRPr="00607D59">
        <w:rPr>
          <w:rFonts w:ascii="Times New Roman" w:eastAsia="Arial" w:hAnsi="Times New Roman" w:cs="Times New Roman"/>
          <w:sz w:val="24"/>
          <w:szCs w:val="24"/>
        </w:rPr>
        <w:lastRenderedPageBreak/>
        <w:t>celu związanym z przedmiotowym postępowaniem o udzielenie zamówienia publicznego;</w:t>
      </w:r>
      <w:r w:rsidRPr="00607D5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 xml:space="preserve">d) odbiorcami Pani/Pana danych osobowych będą osoby lub podmioty, którym udostępniona zostanie dokumentacja postępowania w oparciu o art. 8 oraz art. 96 ust. 3 ustawy Pzp;  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e)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f) obowiązek podania przez Panią/Pana danych osobowych bezpośrednio Pani/Pana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dotyczących jest wymogiem ustawowym określonym w przepisach ustawy Pzp, związanym z udziałem w postępowaniu o udzielenie zamówienia publicznego; konsekwencje niepodania określonych danych wynikają z ustawy Pzp;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g)</w:t>
      </w:r>
      <w:r w:rsidRPr="00607D59">
        <w:rPr>
          <w:rFonts w:ascii="Times New Roman" w:eastAsia="Arial" w:hAnsi="Times New Roman" w:cs="Times New Roman"/>
          <w:sz w:val="24"/>
          <w:szCs w:val="24"/>
        </w:rPr>
        <w:tab/>
        <w:t>w odniesieniu do Pani/Pana danych osobowych decyzje nie będą podejmowane w sposób zautomatyzowany, stosowanie do postanowień art. 22 RODO;</w:t>
      </w:r>
      <w:r w:rsidRPr="00607D59">
        <w:rPr>
          <w:rFonts w:ascii="Times New Roman" w:eastAsia="Arial" w:hAnsi="Times New Roman" w:cs="Times New Roman"/>
          <w:sz w:val="24"/>
          <w:szCs w:val="24"/>
        </w:rPr>
        <w:br/>
        <w:t>h)</w:t>
      </w:r>
      <w:r w:rsidRPr="00607D59">
        <w:rPr>
          <w:rFonts w:ascii="Times New Roman" w:eastAsia="Arial" w:hAnsi="Times New Roman" w:cs="Times New Roman"/>
          <w:sz w:val="24"/>
          <w:szCs w:val="24"/>
        </w:rPr>
        <w:tab/>
        <w:t>posiada Pani/Pan:</w:t>
      </w:r>
    </w:p>
    <w:p w14:paraId="2042A326" w14:textId="77777777" w:rsidR="00567D76" w:rsidRPr="00E24FF8" w:rsidRDefault="00567D76" w:rsidP="00567D7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993" w:hanging="283"/>
        <w:jc w:val="both"/>
        <w:rPr>
          <w:rFonts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na podstawie art. 15 RODO prawo dostępu do danych osobowych Pani/Pana dotyczących;</w:t>
      </w:r>
    </w:p>
    <w:p w14:paraId="3779B947" w14:textId="77777777" w:rsidR="00567D76" w:rsidRPr="00E24FF8" w:rsidRDefault="00567D76" w:rsidP="00567D7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993" w:hanging="283"/>
        <w:jc w:val="both"/>
        <w:rPr>
          <w:rFonts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na podstawie art. 16 RODO prawo do sprostowania Pani/Pana danych osobowych*;</w:t>
      </w:r>
    </w:p>
    <w:p w14:paraId="53C5B5C7" w14:textId="77777777" w:rsidR="00567D76" w:rsidRPr="00607D59" w:rsidRDefault="00567D76" w:rsidP="00567D7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993" w:hanging="283"/>
        <w:jc w:val="both"/>
        <w:rPr>
          <w:rFonts w:cs="Times New Roman"/>
          <w:sz w:val="24"/>
          <w:szCs w:val="24"/>
        </w:rPr>
      </w:pPr>
      <w:r w:rsidRPr="00607D59">
        <w:rPr>
          <w:rFonts w:eastAsia="Arial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</w:t>
      </w:r>
      <w:r>
        <w:rPr>
          <w:rFonts w:eastAsia="Arial" w:cs="Times New Roman"/>
          <w:sz w:val="24"/>
          <w:szCs w:val="24"/>
        </w:rPr>
        <w:t xml:space="preserve"> </w:t>
      </w:r>
      <w:r w:rsidRPr="00607D59">
        <w:rPr>
          <w:rFonts w:eastAsia="Arial" w:cs="Times New Roman"/>
          <w:sz w:val="24"/>
          <w:szCs w:val="24"/>
        </w:rPr>
        <w:t xml:space="preserve">RODO**;  </w:t>
      </w:r>
    </w:p>
    <w:p w14:paraId="62DB7D17" w14:textId="77777777" w:rsidR="00567D76" w:rsidRPr="00E24FF8" w:rsidRDefault="00567D76" w:rsidP="00567D7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993" w:hanging="283"/>
        <w:jc w:val="both"/>
        <w:rPr>
          <w:rFonts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95AC77B" w14:textId="77777777" w:rsidR="00567D76" w:rsidRPr="00E24FF8" w:rsidRDefault="00567D76" w:rsidP="00567D76">
      <w:pPr>
        <w:spacing w:line="240" w:lineRule="auto"/>
        <w:ind w:left="284"/>
        <w:jc w:val="both"/>
        <w:rPr>
          <w:rFonts w:eastAsia="Arial" w:cs="Times New Roman"/>
          <w:i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i)   nie przysługuje Pani/Panu:</w:t>
      </w:r>
    </w:p>
    <w:p w14:paraId="4AA37148" w14:textId="77777777" w:rsidR="00567D76" w:rsidRPr="00E24FF8" w:rsidRDefault="00567D76" w:rsidP="00567D7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 w:hanging="348"/>
        <w:jc w:val="both"/>
        <w:rPr>
          <w:rFonts w:eastAsia="Arial"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w związku z art. 17 ust. 3 lit. b, d lub e RODO prawo do usunięcia danych osobowych;</w:t>
      </w:r>
    </w:p>
    <w:p w14:paraId="7B3DA873" w14:textId="77777777" w:rsidR="00567D76" w:rsidRPr="00E24FF8" w:rsidRDefault="00567D76" w:rsidP="00567D7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 w:hanging="348"/>
        <w:jc w:val="both"/>
        <w:rPr>
          <w:rFonts w:eastAsia="Arial"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>prawo do przenoszenia danych osobowych, o którym mowa w art. 20 RODO;</w:t>
      </w:r>
    </w:p>
    <w:p w14:paraId="0774470E" w14:textId="77777777" w:rsidR="00567D76" w:rsidRPr="00E24FF8" w:rsidRDefault="00567D76" w:rsidP="00567D7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 w:hanging="348"/>
        <w:jc w:val="both"/>
        <w:rPr>
          <w:rFonts w:eastAsia="Arial" w:cs="Times New Roman"/>
          <w:sz w:val="24"/>
          <w:szCs w:val="24"/>
        </w:rPr>
      </w:pPr>
      <w:r w:rsidRPr="00E24FF8">
        <w:rPr>
          <w:rFonts w:eastAsia="Arial" w:cs="Times New Roman"/>
          <w:sz w:val="24"/>
          <w:szCs w:val="24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490DC082" w14:textId="77777777" w:rsidR="00DD7D3A" w:rsidRDefault="00836815">
      <w:pPr>
        <w:pStyle w:val="Nagwek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70biikn34a2"/>
      <w:bookmarkEnd w:id="7"/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2F9F1E95" w14:textId="77777777" w:rsidR="00DD7D3A" w:rsidRPr="00567D76" w:rsidRDefault="00836815">
      <w:pPr>
        <w:spacing w:before="60"/>
        <w:ind w:firstLine="720"/>
        <w:jc w:val="both"/>
        <w:rPr>
          <w:b/>
          <w:bCs/>
          <w:color w:val="auto"/>
          <w:sz w:val="24"/>
          <w:szCs w:val="24"/>
          <w:u w:color="FF0000"/>
        </w:rPr>
      </w:pPr>
      <w:r w:rsidRPr="00567D76">
        <w:rPr>
          <w:color w:val="auto"/>
          <w:sz w:val="24"/>
          <w:szCs w:val="24"/>
          <w:u w:color="FF0000"/>
        </w:rPr>
        <w:t>Zamawiający zastrzega sobie prawo do:</w:t>
      </w:r>
    </w:p>
    <w:p w14:paraId="06650E6D" w14:textId="77777777" w:rsidR="00DD7D3A" w:rsidRDefault="00836815" w:rsidP="00567D76">
      <w:pPr>
        <w:numPr>
          <w:ilvl w:val="1"/>
          <w:numId w:val="3"/>
        </w:numPr>
        <w:ind w:hanging="589"/>
        <w:jc w:val="both"/>
        <w:rPr>
          <w:sz w:val="24"/>
          <w:szCs w:val="24"/>
        </w:rPr>
      </w:pPr>
      <w:r>
        <w:rPr>
          <w:sz w:val="24"/>
          <w:szCs w:val="24"/>
        </w:rPr>
        <w:t>Wyjaśnienia treś</w:t>
      </w:r>
      <w:r>
        <w:rPr>
          <w:sz w:val="24"/>
          <w:szCs w:val="24"/>
          <w:lang w:val="it-IT"/>
        </w:rPr>
        <w:t>ci Post</w:t>
      </w:r>
      <w:r>
        <w:rPr>
          <w:sz w:val="24"/>
          <w:szCs w:val="24"/>
        </w:rPr>
        <w:t>ępowania w odpowiedzi na pytania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pod warunkiem, że wniosek o wyjaśnienie treś</w:t>
      </w:r>
      <w:r>
        <w:rPr>
          <w:sz w:val="24"/>
          <w:szCs w:val="24"/>
          <w:lang w:val="it-IT"/>
        </w:rPr>
        <w:t>ci Post</w:t>
      </w:r>
      <w:r>
        <w:rPr>
          <w:sz w:val="24"/>
          <w:szCs w:val="24"/>
        </w:rPr>
        <w:t>ępowania wpłynął do Zamawiającego nie później niż do końca dnia,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upływa połowa wyznaczonego terminu składania ofert;</w:t>
      </w:r>
    </w:p>
    <w:p w14:paraId="6DE72C55" w14:textId="77777777" w:rsidR="00DD7D3A" w:rsidRDefault="00836815" w:rsidP="00567D76">
      <w:pPr>
        <w:numPr>
          <w:ilvl w:val="1"/>
          <w:numId w:val="3"/>
        </w:numPr>
        <w:ind w:hanging="589"/>
        <w:jc w:val="both"/>
        <w:rPr>
          <w:sz w:val="24"/>
          <w:szCs w:val="24"/>
        </w:rPr>
      </w:pPr>
      <w:r>
        <w:rPr>
          <w:sz w:val="24"/>
          <w:szCs w:val="24"/>
        </w:rPr>
        <w:t>Zmiany treś</w:t>
      </w:r>
      <w:r>
        <w:rPr>
          <w:sz w:val="24"/>
          <w:szCs w:val="24"/>
          <w:lang w:val="it-IT"/>
        </w:rPr>
        <w:t>ci Post</w:t>
      </w:r>
      <w:r>
        <w:rPr>
          <w:sz w:val="24"/>
          <w:szCs w:val="24"/>
        </w:rPr>
        <w:t>ępowania przed upływem terminu składania ofert, a po jego upływie wprowadzenia nieistotnych zmian do treś</w:t>
      </w:r>
      <w:r>
        <w:rPr>
          <w:sz w:val="24"/>
          <w:szCs w:val="24"/>
          <w:lang w:val="it-IT"/>
        </w:rPr>
        <w:t>ci Post</w:t>
      </w:r>
      <w:r>
        <w:rPr>
          <w:sz w:val="24"/>
          <w:szCs w:val="24"/>
        </w:rPr>
        <w:t>ępowania nie mających wpływu na wynik postępowania, za zgodą Wykonawcy,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oferta została wybrana jako najkorzystniejsza. Zmiany,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zdaniu poprzedzającym, będą dokonywane w formie pisemnej;</w:t>
      </w:r>
    </w:p>
    <w:p w14:paraId="589CB6AF" w14:textId="77777777" w:rsidR="00DD7D3A" w:rsidRDefault="00836815" w:rsidP="00567D76">
      <w:pPr>
        <w:numPr>
          <w:ilvl w:val="1"/>
          <w:numId w:val="3"/>
        </w:numPr>
        <w:ind w:hanging="589"/>
        <w:jc w:val="both"/>
        <w:rPr>
          <w:sz w:val="24"/>
          <w:szCs w:val="24"/>
        </w:rPr>
      </w:pPr>
      <w:r>
        <w:rPr>
          <w:sz w:val="24"/>
          <w:szCs w:val="24"/>
        </w:rPr>
        <w:t>Unieważnienia postępowania w całości w każdym czasie podając uzasadnienie faktyczne;</w:t>
      </w:r>
    </w:p>
    <w:p w14:paraId="0F193084" w14:textId="77777777" w:rsidR="00DD7D3A" w:rsidRDefault="00836815" w:rsidP="00567D76">
      <w:pPr>
        <w:numPr>
          <w:ilvl w:val="1"/>
          <w:numId w:val="3"/>
        </w:numPr>
        <w:ind w:hanging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Zakończenia postępowania bez dokonania wyboru oferty najkorzystniejszej; </w:t>
      </w:r>
    </w:p>
    <w:p w14:paraId="546702BB" w14:textId="77777777" w:rsidR="00DD7D3A" w:rsidRDefault="00836815" w:rsidP="00567D76">
      <w:pPr>
        <w:numPr>
          <w:ilvl w:val="1"/>
          <w:numId w:val="3"/>
        </w:numPr>
        <w:spacing w:line="240" w:lineRule="auto"/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przypadku, gdy Wykonawca,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oferta została wybrana, uchyla się od zawarcia Umowy, Zamawiający może dokonać wyboru oferty najkorzystniejszej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pozostałych ważnych ofert;</w:t>
      </w:r>
    </w:p>
    <w:p w14:paraId="0EE0A46A" w14:textId="77777777" w:rsidR="00DD7D3A" w:rsidRDefault="00836815" w:rsidP="00567D76">
      <w:pPr>
        <w:numPr>
          <w:ilvl w:val="1"/>
          <w:numId w:val="3"/>
        </w:numPr>
        <w:spacing w:line="240" w:lineRule="auto"/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Żądania szczegółowych informacji i wyjaśnień od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każdym etapie postępowania;</w:t>
      </w:r>
    </w:p>
    <w:p w14:paraId="5B10403C" w14:textId="77777777" w:rsidR="00DD7D3A" w:rsidRDefault="00836815" w:rsidP="00567D76">
      <w:pPr>
        <w:numPr>
          <w:ilvl w:val="1"/>
          <w:numId w:val="3"/>
        </w:numPr>
        <w:spacing w:line="240" w:lineRule="auto"/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Nieudzielenia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 Wykonawcy,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oferta nie spełnia wymagań określonych w Postępowaniu;</w:t>
      </w:r>
    </w:p>
    <w:p w14:paraId="197D33D0" w14:textId="77777777" w:rsidR="00DD7D3A" w:rsidRDefault="00836815" w:rsidP="00567D76">
      <w:pPr>
        <w:numPr>
          <w:ilvl w:val="1"/>
          <w:numId w:val="3"/>
        </w:numPr>
        <w:spacing w:line="240" w:lineRule="auto"/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Odrzucenia oferty Wykonawcy,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nie spełnia wymagań określonych w Postępowaniu;</w:t>
      </w:r>
    </w:p>
    <w:p w14:paraId="73396942" w14:textId="77777777" w:rsidR="00DD7D3A" w:rsidRDefault="00836815" w:rsidP="00567D76">
      <w:pPr>
        <w:numPr>
          <w:ilvl w:val="1"/>
          <w:numId w:val="3"/>
        </w:numPr>
        <w:spacing w:line="240" w:lineRule="auto"/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Poprawienia w treści oferty oczywistych omyłek pisarskich, rachunkowych oraz innych omyłek polegających na niezgodności oferty z wymaganiami Zamawiającego, niepowodujących istotnych zmian w treści oferty – niezwłocznie zawiadamiając o tym Wykonawcę,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oferta została poprawiona. W przypadku poprawienia innej omyłki polegającej na niezgodności z wymaganiami Zamawiającego, niepowodującej istotnych zmian w treści oferty, oferta Wykonawcy podlega odrzuceniu, jeżeli Wykonawca wyrazi sprzeciw na poprawienie oferty w terminie 2 dni roboczych od dnia przesłania zawiadomienia o poprawieniu;</w:t>
      </w:r>
    </w:p>
    <w:p w14:paraId="7C87F9BE" w14:textId="77777777" w:rsidR="00DD7D3A" w:rsidRDefault="00836815" w:rsidP="00567D76">
      <w:pPr>
        <w:numPr>
          <w:ilvl w:val="1"/>
          <w:numId w:val="3"/>
        </w:numPr>
        <w:tabs>
          <w:tab w:val="left" w:pos="1843"/>
        </w:tabs>
        <w:spacing w:line="240" w:lineRule="auto"/>
        <w:ind w:left="1701" w:hanging="726"/>
        <w:jc w:val="both"/>
        <w:rPr>
          <w:sz w:val="24"/>
          <w:szCs w:val="24"/>
        </w:rPr>
      </w:pPr>
      <w:r>
        <w:rPr>
          <w:sz w:val="24"/>
          <w:szCs w:val="24"/>
        </w:rPr>
        <w:t>Wezwania Wykonawcy do złożenia, uzupełnienia lub poprawienia w terminie przez siebie wskazanym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Postępowania, jeżeli dokumenty te są niekompletne, zawierają błędy, chyba że pomimo ich złożenia, uzupełnienia lub poprawienia oferta Wykonawcy podlega odrzuceniu;</w:t>
      </w:r>
    </w:p>
    <w:p w14:paraId="0784D61A" w14:textId="77777777" w:rsidR="00DD7D3A" w:rsidRDefault="00836815" w:rsidP="00567D76">
      <w:pPr>
        <w:numPr>
          <w:ilvl w:val="1"/>
          <w:numId w:val="3"/>
        </w:numPr>
        <w:tabs>
          <w:tab w:val="left" w:pos="1843"/>
        </w:tabs>
        <w:spacing w:line="240" w:lineRule="auto"/>
        <w:ind w:left="1701" w:hanging="726"/>
        <w:jc w:val="both"/>
        <w:rPr>
          <w:sz w:val="24"/>
          <w:szCs w:val="24"/>
        </w:rPr>
      </w:pPr>
      <w:r>
        <w:rPr>
          <w:sz w:val="24"/>
          <w:szCs w:val="24"/>
        </w:rPr>
        <w:t>Wyboru oferty najkorzystniejszej i niezwłocznego przekazania informacji o jej wyborze poprzez przesłanie wykonawcom uczestniczącym w postępowaniu na ich adresy e-mail.</w:t>
      </w:r>
    </w:p>
    <w:p w14:paraId="0E166277" w14:textId="77777777" w:rsidR="00DD7D3A" w:rsidRDefault="00836815" w:rsidP="00567D76">
      <w:pPr>
        <w:numPr>
          <w:ilvl w:val="1"/>
          <w:numId w:val="3"/>
        </w:numPr>
        <w:tabs>
          <w:tab w:val="left" w:pos="1843"/>
        </w:tabs>
        <w:spacing w:line="240" w:lineRule="auto"/>
        <w:ind w:left="1701" w:hanging="726"/>
        <w:jc w:val="both"/>
        <w:rPr>
          <w:sz w:val="24"/>
          <w:szCs w:val="24"/>
        </w:rPr>
      </w:pPr>
      <w:r>
        <w:rPr>
          <w:sz w:val="24"/>
          <w:szCs w:val="24"/>
        </w:rPr>
        <w:t>Powiadomienie o wyborze oferty nie stanowi przyjęcia oferty w rozumieniu Kodeksu cywilnego i nie oznacza zobowiązania do zawarcia umowy pomiędzy Zamawiającym, a Wykonawcą;</w:t>
      </w:r>
      <w:bookmarkEnd w:id="9"/>
    </w:p>
    <w:p w14:paraId="6AF22A52" w14:textId="77777777" w:rsidR="00567D76" w:rsidRDefault="00567D76">
      <w:pPr>
        <w:jc w:val="both"/>
        <w:rPr>
          <w:b/>
          <w:bCs/>
          <w:sz w:val="24"/>
          <w:szCs w:val="24"/>
        </w:rPr>
      </w:pPr>
    </w:p>
    <w:p w14:paraId="490A5BB7" w14:textId="77777777" w:rsidR="00567D76" w:rsidRDefault="00567D7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CBFD14" w14:textId="0BE8382A" w:rsidR="00DD7D3A" w:rsidRPr="00567D76" w:rsidRDefault="00567D76">
      <w:pPr>
        <w:jc w:val="both"/>
        <w:rPr>
          <w:b/>
          <w:sz w:val="24"/>
          <w:szCs w:val="24"/>
        </w:rPr>
      </w:pPr>
      <w:r w:rsidRPr="00567D76">
        <w:rPr>
          <w:b/>
          <w:sz w:val="24"/>
          <w:szCs w:val="24"/>
        </w:rPr>
        <w:lastRenderedPageBreak/>
        <w:t>OPIS PRZEDMIOTU ZAM</w:t>
      </w:r>
      <w:r w:rsidRPr="00567D76">
        <w:rPr>
          <w:b/>
          <w:sz w:val="24"/>
          <w:szCs w:val="24"/>
          <w:lang w:val="es-ES_tradnl"/>
        </w:rPr>
        <w:t>Ó</w:t>
      </w:r>
      <w:r w:rsidRPr="00567D76">
        <w:rPr>
          <w:b/>
          <w:sz w:val="24"/>
          <w:szCs w:val="24"/>
        </w:rPr>
        <w:t xml:space="preserve">WIENIA (OPZ) </w:t>
      </w:r>
    </w:p>
    <w:p w14:paraId="75B8DD13" w14:textId="77777777" w:rsidR="00DD7D3A" w:rsidRDefault="00836815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lne wzglę</w:t>
      </w:r>
      <w:r>
        <w:rPr>
          <w:b/>
          <w:bCs/>
          <w:sz w:val="24"/>
          <w:szCs w:val="24"/>
          <w:lang w:val="de-DE"/>
        </w:rPr>
        <w:t>dem SaaS</w:t>
      </w:r>
      <w:r>
        <w:rPr>
          <w:b/>
          <w:bCs/>
          <w:sz w:val="24"/>
          <w:szCs w:val="24"/>
          <w:vertAlign w:val="superscript"/>
        </w:rPr>
        <w:footnoteReference w:id="2"/>
      </w:r>
      <w:r>
        <w:rPr>
          <w:b/>
          <w:bCs/>
          <w:sz w:val="24"/>
          <w:szCs w:val="24"/>
        </w:rPr>
        <w:t>:</w:t>
      </w:r>
    </w:p>
    <w:p w14:paraId="500628EC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 musi być zgodny z obowiązującym Prawem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publicznych, a Wykonawca musi zobowiązać się w Umowie, że w ramach abonamentu za usługę deklaruje się do bezpłatnego dostosowania systemu do zmieniającego się prawa Pzp.</w:t>
      </w:r>
    </w:p>
    <w:p w14:paraId="175CCBDD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aplikacji - Wykonawca w ramach abonamentu zapewni dostępność najnowszej wersji systemu.</w:t>
      </w:r>
    </w:p>
    <w:p w14:paraId="5E05A6DD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Doradztwo merytoryczne dla wszystkich 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Zamawiającego w godzinach minimalnie od 8:00 do 15:00 w dni pracujące.</w:t>
      </w:r>
    </w:p>
    <w:p w14:paraId="19DF545D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techniczna wszystkich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poprzez dostępny telefon i e-mail  minimalnie od 8:00-17:00 w dni pracujące.</w:t>
      </w:r>
    </w:p>
    <w:p w14:paraId="27B432BA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Platforma nie może wymagać od Zamawiającego użycia podpis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elektronicznych do otwarcia ofert. </w:t>
      </w:r>
    </w:p>
    <w:p w14:paraId="470AD33A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Platforma musi być zainstalowana na serwerach należących do operatora platformy lub profesjonalnego podmiotu trzeciego,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operator platformy ma zawartą umowę hostingową w formie pisemnej.</w:t>
      </w:r>
    </w:p>
    <w:p w14:paraId="055620C1" w14:textId="77777777" w:rsidR="00DD7D3A" w:rsidRDefault="00836815">
      <w:pPr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Operator jako podmiot przetwarzający zapewnia wystarczające gwarancje wdrożenia odpowiednich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 technicznych i organizacyjnych, by przetwarzanie spełniało wymogi RODO i chroniło prawa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dane dotyczą. Przetwarzający zobowiązuje się, do przetwarzania danych wyłącznie na terenie Unii Europejskiej lub państw członkowskich i nie przekaże danych do państwa trzeciego lub organizacji międzynarodowej. </w:t>
      </w:r>
    </w:p>
    <w:p w14:paraId="543346EE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Platformą, musi być możliwa przy minimalnych wymaganiach:</w:t>
      </w:r>
    </w:p>
    <w:p w14:paraId="4E3508DA" w14:textId="77777777" w:rsidR="00DD7D3A" w:rsidRDefault="00836815" w:rsidP="003B3C52">
      <w:pPr>
        <w:numPr>
          <w:ilvl w:val="2"/>
          <w:numId w:val="14"/>
        </w:numPr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Stały dostęp do sieci Internet o gwarantowanej przepustowości nie mniejszej niż 512kb/s;</w:t>
      </w:r>
    </w:p>
    <w:p w14:paraId="63A17EB7" w14:textId="77777777" w:rsidR="00DD7D3A" w:rsidRDefault="00836815" w:rsidP="003B3C52">
      <w:pPr>
        <w:numPr>
          <w:ilvl w:val="2"/>
          <w:numId w:val="14"/>
        </w:numPr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>Komputer klasy PC lub Mac, o następującej konfiguracji: pamięć min, 2GB RAM, Procesor Intel IV 2GHZ, jeden z system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operacyjnych – MS Windows 7, Mac OS X 10.4, Linux, lub ich nowsze wersje;</w:t>
      </w:r>
    </w:p>
    <w:p w14:paraId="4587256C" w14:textId="77777777" w:rsidR="00DD7D3A" w:rsidRDefault="00836815" w:rsidP="003B3C52">
      <w:pPr>
        <w:numPr>
          <w:ilvl w:val="2"/>
          <w:numId w:val="14"/>
        </w:numPr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Zainstalowaną popularną przeglądarkę internetową obsługującą </w:t>
      </w:r>
      <w:r>
        <w:rPr>
          <w:sz w:val="24"/>
          <w:szCs w:val="24"/>
          <w:lang w:val="it-IT"/>
        </w:rPr>
        <w:t>TLS 1.3, (Mozilla Firefox Internet Explorer, Google Chrome</w:t>
      </w:r>
      <w:r>
        <w:rPr>
          <w:sz w:val="24"/>
          <w:szCs w:val="24"/>
        </w:rPr>
        <w:t>, Safari).</w:t>
      </w:r>
    </w:p>
    <w:p w14:paraId="6CB36C22" w14:textId="77777777" w:rsidR="00DD7D3A" w:rsidRDefault="00836815" w:rsidP="003B3C52">
      <w:pPr>
        <w:numPr>
          <w:ilvl w:val="1"/>
          <w:numId w:val="14"/>
        </w:numPr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Zarządzanie Użytkownikami. </w:t>
      </w:r>
    </w:p>
    <w:p w14:paraId="3A4854A1" w14:textId="77777777" w:rsidR="00DD7D3A" w:rsidRDefault="0083681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Dostęp do platformy mogą posiadać po stronie Zamawiającego tylko zdefiniowani użytkownicy i przedstawiciel Zamawiającego o uprawnieniach administratora (Administrator Zamawiającego),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musi mieć możliwość nadania poszczeg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lnym użytkownikom uprawnienia umożliwiające dostęp do platformy w zakresie wskazanym przez Zamawiającego, a w razie potrzeby – na żądanie Zamawiającego lub w związku z zakończeniem świadczenia usługi – te uprawnienia zmienia lub odbiera. </w:t>
      </w:r>
    </w:p>
    <w:p w14:paraId="03E37D22" w14:textId="77777777" w:rsidR="00DD7D3A" w:rsidRDefault="00836815" w:rsidP="004A4118">
      <w:pPr>
        <w:numPr>
          <w:ilvl w:val="1"/>
          <w:numId w:val="14"/>
        </w:numPr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Platforma ma być dostępna przez protokół https przez przeglądarkę WWW. Strefa dostępu użytkownika powinna być zamknię</w:t>
      </w:r>
      <w:r>
        <w:rPr>
          <w:sz w:val="24"/>
          <w:szCs w:val="24"/>
          <w:lang w:val="es-ES_tradnl"/>
        </w:rPr>
        <w:t>ta, po</w:t>
      </w:r>
      <w:r>
        <w:rPr>
          <w:sz w:val="24"/>
          <w:szCs w:val="24"/>
        </w:rPr>
        <w:t>łączenie musi być szyfrowane. Protokół https skonfigurowany musi być 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</w:t>
      </w:r>
      <w:r>
        <w:rPr>
          <w:sz w:val="24"/>
          <w:szCs w:val="24"/>
        </w:rPr>
        <w:lastRenderedPageBreak/>
        <w:t>uwzględniający dobre praktyki w zakresie bezpieczeństwa, obejmujące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r>
        <w:rPr>
          <w:sz w:val="24"/>
          <w:szCs w:val="24"/>
          <w:lang w:val="it-IT"/>
        </w:rPr>
        <w:t>ci:</w:t>
      </w:r>
    </w:p>
    <w:p w14:paraId="49443042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>Dopuszczenie stosowania protokołu TLS (ang. Transport Layer Security) 1.3 i nowszych - standard w Internecie rozwinięcie protokołu SSL (ang. Secure Socket Layer),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zapewnia poufność i integralność transmisji danych, a także uwierzytelnienie serwera, a niekiedy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klienta;</w:t>
      </w:r>
    </w:p>
    <w:p w14:paraId="57FC2293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>Zabronione jest korzystanie z algorytm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DES i RC4;</w:t>
      </w:r>
    </w:p>
    <w:p w14:paraId="7EC74FFE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>Zabronione jest korzystanie z funkcji skr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tu MD5 i SHA-1;</w:t>
      </w:r>
    </w:p>
    <w:p w14:paraId="3F54C75F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>Wymaganie uwierzytelnienia serwera przy pomocy certyfikatu rozpoznawalnego przez przeglądarkę jako zaufany;</w:t>
      </w:r>
    </w:p>
    <w:p w14:paraId="32716A58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Platforma musi posiadać opcję </w:t>
      </w:r>
      <w:r w:rsidRPr="0038130C">
        <w:rPr>
          <w:sz w:val="24"/>
          <w:szCs w:val="24"/>
        </w:rPr>
        <w:t>w</w:t>
      </w:r>
      <w:r>
        <w:rPr>
          <w:sz w:val="24"/>
          <w:szCs w:val="24"/>
        </w:rPr>
        <w:t>łączenia dwuskładnikowej autoryzacji (two factor);</w:t>
      </w:r>
    </w:p>
    <w:p w14:paraId="44097BD9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>Platforma musi pozwalać na prowadzenie wielu postępowań i akcji w tym samym czasie;</w:t>
      </w:r>
    </w:p>
    <w:p w14:paraId="3AE1116B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Logowanie do platformy musi wymagać loginu i hasła; </w:t>
      </w:r>
    </w:p>
    <w:p w14:paraId="67660AB0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Siłę </w:t>
      </w:r>
      <w:r w:rsidRPr="0038130C">
        <w:rPr>
          <w:sz w:val="24"/>
          <w:szCs w:val="24"/>
        </w:rPr>
        <w:t>has</w:t>
      </w:r>
      <w:r>
        <w:rPr>
          <w:sz w:val="24"/>
          <w:szCs w:val="24"/>
        </w:rPr>
        <w:t>ła dla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powinien mieć możliwość ustalić Administrator Zamawiającego, kt</w:t>
      </w:r>
      <w:r>
        <w:rPr>
          <w:sz w:val="24"/>
          <w:szCs w:val="24"/>
          <w:lang w:val="es-ES_tradnl"/>
        </w:rPr>
        <w:t>ó</w:t>
      </w:r>
      <w:r w:rsidRPr="0038130C">
        <w:rPr>
          <w:sz w:val="24"/>
          <w:szCs w:val="24"/>
        </w:rPr>
        <w:t>ry mo</w:t>
      </w:r>
      <w:r>
        <w:rPr>
          <w:sz w:val="24"/>
          <w:szCs w:val="24"/>
        </w:rPr>
        <w:t>że wymagać:</w:t>
      </w:r>
    </w:p>
    <w:p w14:paraId="50B4F374" w14:textId="77777777" w:rsidR="00DD7D3A" w:rsidRDefault="00836815" w:rsidP="004A4118">
      <w:pPr>
        <w:numPr>
          <w:ilvl w:val="3"/>
          <w:numId w:val="14"/>
        </w:numPr>
        <w:ind w:left="3261" w:hanging="846"/>
        <w:jc w:val="both"/>
        <w:rPr>
          <w:sz w:val="24"/>
          <w:szCs w:val="24"/>
        </w:rPr>
      </w:pPr>
      <w:r>
        <w:rPr>
          <w:sz w:val="24"/>
          <w:szCs w:val="24"/>
        </w:rPr>
        <w:t>Co najmniej 8 znak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długości;</w:t>
      </w:r>
    </w:p>
    <w:p w14:paraId="48EC8A19" w14:textId="77777777" w:rsidR="00DD7D3A" w:rsidRDefault="00836815" w:rsidP="004A4118">
      <w:pPr>
        <w:numPr>
          <w:ilvl w:val="3"/>
          <w:numId w:val="14"/>
        </w:numPr>
        <w:ind w:left="3261" w:hanging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zawierania co najmniej: jedną wielką </w:t>
      </w:r>
      <w:r>
        <w:rPr>
          <w:sz w:val="24"/>
          <w:szCs w:val="24"/>
          <w:lang w:val="de-DE"/>
        </w:rPr>
        <w:t>liter</w:t>
      </w:r>
      <w:r>
        <w:rPr>
          <w:sz w:val="24"/>
          <w:szCs w:val="24"/>
        </w:rPr>
        <w:t xml:space="preserve">ę (A-Z), jedną małą </w:t>
      </w:r>
      <w:r>
        <w:rPr>
          <w:sz w:val="24"/>
          <w:szCs w:val="24"/>
          <w:lang w:val="de-DE"/>
        </w:rPr>
        <w:t>liter</w:t>
      </w:r>
      <w:r>
        <w:rPr>
          <w:sz w:val="24"/>
          <w:szCs w:val="24"/>
        </w:rPr>
        <w:t>ę (a-z), dwa znaki specjalnie niesąsiadujące ze sobą, jedną cyfrę (0-9);</w:t>
      </w:r>
    </w:p>
    <w:p w14:paraId="357ABC92" w14:textId="77777777" w:rsidR="00DD7D3A" w:rsidRDefault="00836815" w:rsidP="004A4118">
      <w:pPr>
        <w:numPr>
          <w:ilvl w:val="3"/>
          <w:numId w:val="14"/>
        </w:numPr>
        <w:ind w:left="3261" w:hanging="84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Maksymalny okres ważności hasła 60 dni;</w:t>
      </w:r>
    </w:p>
    <w:p w14:paraId="40A0FE90" w14:textId="77777777" w:rsidR="00DD7D3A" w:rsidRDefault="00836815" w:rsidP="004A4118">
      <w:pPr>
        <w:numPr>
          <w:ilvl w:val="3"/>
          <w:numId w:val="14"/>
        </w:numPr>
        <w:ind w:left="3261" w:hanging="84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Minimalny okres ważności hasła 1 dzień;</w:t>
      </w:r>
    </w:p>
    <w:p w14:paraId="7B52A5C3" w14:textId="77777777" w:rsidR="00DD7D3A" w:rsidRDefault="00836815" w:rsidP="004A4118">
      <w:pPr>
        <w:numPr>
          <w:ilvl w:val="3"/>
          <w:numId w:val="14"/>
        </w:numPr>
        <w:ind w:left="3261" w:hanging="84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shd w:val="clear" w:color="auto" w:fill="FFFFFF"/>
          <w:lang w:val="es-ES_tradnl"/>
        </w:rPr>
        <w:t>Historia hase</w:t>
      </w:r>
      <w:r>
        <w:rPr>
          <w:sz w:val="24"/>
          <w:szCs w:val="24"/>
          <w:shd w:val="clear" w:color="auto" w:fill="FFFFFF"/>
        </w:rPr>
        <w:t>ł: hasło nie może się powtarzać przez 6 kolejnych haseł, nowe hasło musi różnić się od poprzedniego co najmniej 2 znakami.</w:t>
      </w:r>
    </w:p>
    <w:p w14:paraId="2CAE26AC" w14:textId="77777777" w:rsidR="00DD7D3A" w:rsidRDefault="00836815" w:rsidP="004A4118">
      <w:pPr>
        <w:numPr>
          <w:ilvl w:val="1"/>
          <w:numId w:val="14"/>
        </w:numPr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Aspekty bezpieczeństwa,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są wymagane od platformy:</w:t>
      </w:r>
    </w:p>
    <w:p w14:paraId="300E5FA4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 xml:space="preserve">Kontrolowanie poprawności wprowadzanych przez użytkownika danych poprzez komunikaty o błędach. </w:t>
      </w:r>
    </w:p>
    <w:p w14:paraId="3277D12C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>Odporność na ataki przez powt</w:t>
      </w:r>
      <w:r w:rsidRPr="004A4118">
        <w:rPr>
          <w:color w:val="auto"/>
          <w:sz w:val="24"/>
          <w:szCs w:val="24"/>
          <w:lang w:val="es-ES_tradnl"/>
        </w:rPr>
        <w:t>ó</w:t>
      </w:r>
      <w:r w:rsidRPr="004A4118">
        <w:rPr>
          <w:color w:val="auto"/>
          <w:sz w:val="24"/>
          <w:szCs w:val="24"/>
        </w:rPr>
        <w:t>rzenie;</w:t>
      </w:r>
    </w:p>
    <w:p w14:paraId="39A06079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>Kodowanie znak</w:t>
      </w:r>
      <w:r w:rsidRPr="004A4118">
        <w:rPr>
          <w:color w:val="auto"/>
          <w:sz w:val="24"/>
          <w:szCs w:val="24"/>
          <w:lang w:val="es-ES_tradnl"/>
        </w:rPr>
        <w:t>ó</w:t>
      </w:r>
      <w:r w:rsidRPr="004A4118">
        <w:rPr>
          <w:color w:val="auto"/>
          <w:sz w:val="24"/>
          <w:szCs w:val="24"/>
        </w:rPr>
        <w:t>w UTF-8;</w:t>
      </w:r>
    </w:p>
    <w:p w14:paraId="58A1D37A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>Kodowanie stron wg standard</w:t>
      </w:r>
      <w:r w:rsidRPr="004A4118">
        <w:rPr>
          <w:color w:val="auto"/>
          <w:sz w:val="24"/>
          <w:szCs w:val="24"/>
          <w:lang w:val="es-ES_tradnl"/>
        </w:rPr>
        <w:t>ó</w:t>
      </w:r>
      <w:r w:rsidRPr="004A4118">
        <w:rPr>
          <w:color w:val="auto"/>
          <w:sz w:val="24"/>
          <w:szCs w:val="24"/>
        </w:rPr>
        <w:t xml:space="preserve">w HTML5 oraz CSS3 Zakończoną poprawną walidacją w narzędziu W3C (poza błędami typu “Warning”; </w:t>
      </w:r>
    </w:p>
    <w:p w14:paraId="533AE123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 xml:space="preserve">Dynamiczna wartość bez stosowania Adobe Flash i Oracle Java; </w:t>
      </w:r>
    </w:p>
    <w:p w14:paraId="14DBD22F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>Prawidłowe działania pod najnowszymi stabilnymi wersjami przeglą</w:t>
      </w:r>
      <w:r w:rsidRPr="004A4118">
        <w:rPr>
          <w:color w:val="auto"/>
          <w:sz w:val="24"/>
          <w:szCs w:val="24"/>
          <w:lang w:val="it-IT"/>
        </w:rPr>
        <w:t>darek Mozilla Firefox Internet Explorer, Google Chrome</w:t>
      </w:r>
      <w:r w:rsidRPr="004A4118">
        <w:rPr>
          <w:color w:val="auto"/>
          <w:sz w:val="24"/>
          <w:szCs w:val="24"/>
        </w:rPr>
        <w:t xml:space="preserve"> oraz Safari; </w:t>
      </w:r>
    </w:p>
    <w:p w14:paraId="501B2014" w14:textId="77777777" w:rsidR="00DD7D3A" w:rsidRPr="004A4118" w:rsidRDefault="00836815" w:rsidP="004A4118">
      <w:pPr>
        <w:numPr>
          <w:ilvl w:val="2"/>
          <w:numId w:val="14"/>
        </w:numPr>
        <w:ind w:left="2410" w:hanging="715"/>
        <w:jc w:val="both"/>
        <w:rPr>
          <w:color w:val="auto"/>
          <w:sz w:val="24"/>
          <w:szCs w:val="24"/>
        </w:rPr>
      </w:pPr>
      <w:r w:rsidRPr="004A4118">
        <w:rPr>
          <w:color w:val="auto"/>
          <w:sz w:val="24"/>
          <w:szCs w:val="24"/>
        </w:rPr>
        <w:t xml:space="preserve">Kontrolowanie poprawność wprowadzonych przez użytkownika danych; </w:t>
      </w:r>
    </w:p>
    <w:p w14:paraId="3BAA7249" w14:textId="77777777" w:rsidR="00DD7D3A" w:rsidRDefault="00836815" w:rsidP="004A4118">
      <w:pPr>
        <w:numPr>
          <w:ilvl w:val="2"/>
          <w:numId w:val="14"/>
        </w:numPr>
        <w:ind w:left="2410" w:hanging="715"/>
        <w:jc w:val="both"/>
        <w:rPr>
          <w:sz w:val="24"/>
          <w:szCs w:val="24"/>
        </w:rPr>
      </w:pPr>
      <w:r w:rsidRPr="004A4118">
        <w:rPr>
          <w:color w:val="auto"/>
          <w:sz w:val="24"/>
          <w:szCs w:val="24"/>
        </w:rPr>
        <w:t xml:space="preserve">System </w:t>
      </w:r>
      <w:r>
        <w:rPr>
          <w:sz w:val="24"/>
          <w:szCs w:val="24"/>
        </w:rPr>
        <w:t>powinien być napisany w RWD (Responsive web design) minimum dla stron po stronie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14EF3E41" w14:textId="77777777" w:rsidR="00DD7D3A" w:rsidRDefault="00836815">
      <w:pPr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Gwarantowany poziom świadczenia usług</w:t>
      </w:r>
    </w:p>
    <w:p w14:paraId="3933EE06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Definicje: </w:t>
      </w:r>
    </w:p>
    <w:p w14:paraId="183F2EAE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Awaria lub błąd krytyczny</w:t>
      </w:r>
      <w:r>
        <w:rPr>
          <w:sz w:val="24"/>
          <w:szCs w:val="24"/>
        </w:rPr>
        <w:t xml:space="preserve"> – problem polegający na zatrzymaniu lub poważnym zakłóceniu pracy systemu stanowiącego przedmiot wsparcia, w wyniku czego nie jest możliwa realizacja co najmniej jednego z kluczowych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prowadzenia postępowanie (tj. logowanie, wystawianie i prowadzenie postępowań</w:t>
      </w:r>
      <w:r>
        <w:rPr>
          <w:sz w:val="24"/>
          <w:szCs w:val="24"/>
          <w:lang w:val="da-DK"/>
        </w:rPr>
        <w:t>, sk</w:t>
      </w:r>
      <w:r>
        <w:rPr>
          <w:sz w:val="24"/>
          <w:szCs w:val="24"/>
        </w:rPr>
        <w:t>ładanie ofert, odszyfrowanie ofert). Przez Awarię rozumie się także błąd krytyczny uniemożliwiający pracę.</w:t>
      </w:r>
    </w:p>
    <w:p w14:paraId="4AEE7C29" w14:textId="77777777" w:rsidR="00DD7D3A" w:rsidRDefault="00836815" w:rsidP="004A4118">
      <w:pPr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Za Awarię uznaje się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jednoczesne wystąpienie szeregu problem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będących błędami lub usterkami, w przypadku, gdy takie problemy występują jednocześnie i mają ten sam skutek co Awaria. </w:t>
      </w:r>
    </w:p>
    <w:p w14:paraId="3A1E1E84" w14:textId="77777777" w:rsidR="00DD7D3A" w:rsidRDefault="00836815" w:rsidP="004A4118">
      <w:pPr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Za Błąd, a nie Awarię będzie uznawany problem, co do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operator platformy zastosuje lub wskaże skuteczne, możliwe do zastosowania, nie skutkujące koniecznością poniesienia przez Zamawiającego jakichkolwiek dodatkowych opłat, obejście umożliwiające funkcjonowanie systemu i umożliwiające zachowanie niezakłóconej realizacji kluczowych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związanych z prowadzeniem postępowania. </w:t>
      </w:r>
    </w:p>
    <w:p w14:paraId="30857DD4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Błąd</w:t>
      </w:r>
      <w:r>
        <w:rPr>
          <w:sz w:val="24"/>
          <w:szCs w:val="24"/>
        </w:rPr>
        <w:t xml:space="preserve"> – problem polegający na zakłóceniu pracy systemu, skutkujący ograniczeniem możliwości realizacji lub uciążliwościami w realizacji kluczowych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związanych z prowadzeniem postępowania wspieranych przez system,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to problemu operator platformy wskazał skuteczne obejście umożliwiające funkcjonowanie systemu i umożliwiające zachowanie ciągłości realizacji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związanych z prowadzeniem postępowania jednocześnie nie skutkujące koniecznością poniesienia przez Zamawiającego jakichkolwiek dodatkowych opłat.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Jeśli nie wskazano obejś</w:t>
      </w:r>
      <w:r>
        <w:rPr>
          <w:sz w:val="24"/>
          <w:szCs w:val="24"/>
          <w:lang w:val="it-IT"/>
        </w:rPr>
        <w:t>cia B</w:t>
      </w:r>
      <w:r>
        <w:rPr>
          <w:sz w:val="24"/>
          <w:szCs w:val="24"/>
        </w:rPr>
        <w:t>łędu lub wskazane obejście wymaga nakład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nieuzasadnionych z ekonomicznego punktu widzenia albo wskazane obejście nie kwalifikuje się do zastosowania ze względu na standardy i/lub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prowadzenia postępowania przez Zamawiającego, obejście nie jest uznawane za skuteczne i taki Błąd jest kwalifikowany jako Awaria.</w:t>
      </w:r>
    </w:p>
    <w:p w14:paraId="0C38F99F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Usterka</w:t>
      </w:r>
      <w:r>
        <w:rPr>
          <w:sz w:val="24"/>
          <w:szCs w:val="24"/>
        </w:rPr>
        <w:t xml:space="preserve"> – wada polegająca na zakłóceniu pracy systemu, mogąca mieć wpływ na funkcjonowanie systemu, natomiast nieograniczająca zdolności operacyjnych systemu do obsługi i wspomagania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związanych z prowadzeniem postępowania. Usterki oznaczają wszelkie problemy z systemem,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nie mają istotnego wpływu na jego zastosowanie, funkcjonowanie lub utrzymanie oraz dalszy jego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j, niebędące Awariami, ani Błędami. </w:t>
      </w:r>
    </w:p>
    <w:p w14:paraId="00CD06CE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SaaS</w:t>
      </w:r>
      <w:r>
        <w:rPr>
          <w:sz w:val="24"/>
          <w:szCs w:val="24"/>
        </w:rPr>
        <w:t xml:space="preserve"> –   Software as a Service (z ang. oprogramowanie jako usługa wraz z licencją) to zakup usługi wraz z oprogramowaniem i licencją oraz  aktualizacją systemu, pomocą techniczną, zarządzaniem serwerami oraz rozwojem systemu.</w:t>
      </w:r>
    </w:p>
    <w:p w14:paraId="548ACF99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Czas Awarii liczony jest jako czas niedostępności systemu. W przypadku przekroczenia dopuszczalnych czas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rozwiązania Błęd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i Usterek, czas przekroczenia liczony jest r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wnież jako czas niedostępności systemu. </w:t>
      </w:r>
    </w:p>
    <w:p w14:paraId="6C4AF45A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Operator platformy zakupowej gwarantuje stabilność działania platformy Zakupowej na minimalnym poziomie 99,7% w skali roku, mierzoną 24h/7. Stabilność mierzona jest jako stosunek liczby godzin, w czasie kt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 xml:space="preserve">rych system był dostępny, do całkowitej liczby godzin w danym roku. </w:t>
      </w:r>
    </w:p>
    <w:p w14:paraId="128D08D9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Operator platformy zakupowej zapłaci Zamawiającemu karę umowną w wysokości 1% wartości Umowy za każdy punkt procentowy obniżenia stabilności platformy zakupowej poniżej gwarantowanego poziomu. Nie więcej niż wartości Umowy abonamentowej. </w:t>
      </w:r>
    </w:p>
    <w:p w14:paraId="479932E4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Kara rozliczana będzie na koniec każdego roku obowiązywania Umowy. </w:t>
      </w:r>
    </w:p>
    <w:p w14:paraId="5B42284C" w14:textId="77777777" w:rsidR="00DD7D3A" w:rsidRDefault="00836815">
      <w:pPr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Maksymalne czasy reakcji w przypadku problem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 platformą zakupową będą liczone w godzinach pracy pracownik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helpdesk i nie przekroczą poniższych czas</w:t>
      </w:r>
      <w:r>
        <w:rPr>
          <w:sz w:val="24"/>
          <w:szCs w:val="24"/>
          <w:shd w:val="clear" w:color="auto" w:fill="FFFFFF"/>
          <w:lang w:val="es-ES_tradnl"/>
        </w:rPr>
        <w:t>ó</w:t>
      </w:r>
      <w:r w:rsidRPr="0038130C">
        <w:rPr>
          <w:sz w:val="24"/>
          <w:szCs w:val="24"/>
          <w:shd w:val="clear" w:color="auto" w:fill="FFFFFF"/>
        </w:rPr>
        <w:t>w:</w:t>
      </w:r>
    </w:p>
    <w:tbl>
      <w:tblPr>
        <w:tblStyle w:val="TableNormal"/>
        <w:tblW w:w="7770" w:type="dxa"/>
        <w:tblInd w:w="13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5"/>
        <w:gridCol w:w="3165"/>
        <w:gridCol w:w="3480"/>
      </w:tblGrid>
      <w:tr w:rsidR="00DD7D3A" w14:paraId="419BB2F0" w14:textId="77777777">
        <w:trPr>
          <w:trHeight w:val="63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D2CA" w14:textId="77777777" w:rsidR="00DD7D3A" w:rsidRDefault="00836815">
            <w:pPr>
              <w:spacing w:line="259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Problem 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476D" w14:textId="77777777" w:rsidR="00DD7D3A" w:rsidRDefault="00836815">
            <w:pPr>
              <w:spacing w:line="259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Maksymalny czas reakcji do: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1BB5" w14:textId="77777777" w:rsidR="00DD7D3A" w:rsidRDefault="00836815">
            <w:pPr>
              <w:spacing w:line="259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Maksymalny czas rozwiązania do:</w:t>
            </w:r>
          </w:p>
        </w:tc>
      </w:tr>
      <w:tr w:rsidR="00DD7D3A" w14:paraId="01A51928" w14:textId="77777777">
        <w:trPr>
          <w:trHeight w:val="3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8645" w14:textId="77777777" w:rsidR="00DD7D3A" w:rsidRDefault="00836815">
            <w:pPr>
              <w:spacing w:line="259" w:lineRule="auto"/>
            </w:pPr>
            <w:r>
              <w:rPr>
                <w:b/>
                <w:bCs/>
                <w:sz w:val="24"/>
                <w:szCs w:val="24"/>
              </w:rPr>
              <w:t>Awaria 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9D2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4 godzin 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5BF9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24 godzin</w:t>
            </w:r>
          </w:p>
        </w:tc>
      </w:tr>
      <w:tr w:rsidR="00DD7D3A" w14:paraId="205E5782" w14:textId="77777777">
        <w:trPr>
          <w:trHeight w:val="31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D021" w14:textId="77777777" w:rsidR="00DD7D3A" w:rsidRDefault="00836815">
            <w:pPr>
              <w:spacing w:line="259" w:lineRule="auto"/>
            </w:pPr>
            <w:r>
              <w:rPr>
                <w:b/>
                <w:bCs/>
                <w:sz w:val="24"/>
                <w:szCs w:val="24"/>
              </w:rPr>
              <w:t>Błąd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61A8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8 godzin 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2F1D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96 godzin </w:t>
            </w:r>
          </w:p>
        </w:tc>
      </w:tr>
      <w:tr w:rsidR="00DD7D3A" w14:paraId="1B40295F" w14:textId="77777777">
        <w:trPr>
          <w:trHeight w:val="31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E640" w14:textId="77777777" w:rsidR="00DD7D3A" w:rsidRDefault="00836815">
            <w:pPr>
              <w:spacing w:line="259" w:lineRule="auto"/>
            </w:pPr>
            <w:r>
              <w:rPr>
                <w:b/>
                <w:bCs/>
                <w:sz w:val="24"/>
                <w:szCs w:val="24"/>
              </w:rPr>
              <w:t>Usterka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FECA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48 godzin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678B" w14:textId="77777777" w:rsidR="00DD7D3A" w:rsidRDefault="00836815">
            <w:pPr>
              <w:spacing w:line="259" w:lineRule="auto"/>
              <w:jc w:val="center"/>
            </w:pPr>
            <w:r>
              <w:rPr>
                <w:sz w:val="24"/>
                <w:szCs w:val="24"/>
              </w:rPr>
              <w:t>7 dni roboczych </w:t>
            </w:r>
          </w:p>
        </w:tc>
      </w:tr>
    </w:tbl>
    <w:p w14:paraId="077FEE3E" w14:textId="77777777" w:rsidR="00DD7D3A" w:rsidRDefault="00DD7D3A">
      <w:pPr>
        <w:widowControl w:val="0"/>
        <w:numPr>
          <w:ilvl w:val="1"/>
          <w:numId w:val="15"/>
        </w:numPr>
        <w:spacing w:line="240" w:lineRule="auto"/>
        <w:jc w:val="both"/>
      </w:pPr>
    </w:p>
    <w:p w14:paraId="51E37400" w14:textId="77777777" w:rsidR="00DD7D3A" w:rsidRDefault="00836815">
      <w:pPr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Czas awarii liczony jest jako czas niedostępności systemu. W przypadku przekroczenia dopuszczalnych czas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rozwiązania błęd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i usterek, czas przekroczenia liczony jest r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wnież jako czas niedostępności systemu.</w:t>
      </w:r>
    </w:p>
    <w:p w14:paraId="1DE5F5AD" w14:textId="77777777" w:rsidR="00DD7D3A" w:rsidRDefault="00836815">
      <w:pPr>
        <w:numPr>
          <w:ilvl w:val="1"/>
          <w:numId w:val="17"/>
        </w:numPr>
        <w:spacing w:line="259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Kary umowne: </w:t>
      </w:r>
    </w:p>
    <w:p w14:paraId="1A0EA0E0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Za każdy rozpoczęty dzień opóźnienia w udostępnieniu platformy Zamawiający naliczy karę umowną w wysokości 1 % wynagrodzenia brutto za dany rok rozliczeniowy.</w:t>
      </w:r>
    </w:p>
    <w:p w14:paraId="3E3E7F9A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Za każdy rozpoczęty dzień opóźnienia w przeprowadzeniu szkolenia Zamawiający naliczy karę umowną w wysokości 1% wynagrodzenia brutto za dany rok rozliczeniowy.</w:t>
      </w:r>
    </w:p>
    <w:p w14:paraId="7EB202B2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Za każdy rozpoczęty dzień opóźnienia w dostosowaniu platformy do aktualnego stanu prawnego wg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realizowane są procesy związane z udzielaniem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publicznych, po terminie wejścia w życie aktu prawnego, skutkującym niemożliwością dalszego prowadzenia postępowań za pośrednictwem platformy, Zamawiający naliczy karę umowną w wysokości 2% wynagrodzenia brutto określonego za dany rok rozliczeniowy.</w:t>
      </w:r>
    </w:p>
    <w:p w14:paraId="0E1E5902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W przypadku dostarczenia przedmiotu Umowy zawierającej błąd krytyczny z winy Wykonawcy, Zamawiający obciąży operatora platformy karą umowną w wysokości 2% wynagrodzenia brutto za dany rok rozliczeniowy za każdy dzień opóźnienia w poprawnym uruchomieniu systemu.</w:t>
      </w:r>
    </w:p>
    <w:p w14:paraId="3D495C65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W przypadku naruszenia integralności ofert złożonych w postaci elektronicznej, opatrzonych kwalifikowanym podpisem elektronicznym, złożonych w postępowaniu o udzielenie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 publicznego przed terminem otwarcia ofert i braku zapisania ich w bazie danych w formie zaszyfrowanej, skutkującego obowiązkiem unieważnienia postępowania, Wykonawca zapłaci karę umowną w wysokości 2% wynagrodzenia brutto za dany rok rozliczeniowy za każdy stwierdzony przypadek.</w:t>
      </w:r>
    </w:p>
    <w:p w14:paraId="426A7126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Za brak dostępności systemu, Wykonawca  zapłaci Zamawiającemu karę umowną w wysokości 1% wynagrodzenia brutto za dany rok rozliczeniowy za każdy punkt procentowy obniżenia stabilności platformy poniżej gwarantowanego poziomu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. </w:t>
      </w:r>
    </w:p>
    <w:p w14:paraId="08838C36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Rozwiązanie Umowy z winy Wykonawcy skutkuje naliczeniem przez Zamawiającego kary umownej w wysokości 20% wynagrodzenia brutto za abonament w danym roku rozliczeniowym.</w:t>
      </w:r>
    </w:p>
    <w:p w14:paraId="39A69915" w14:textId="77777777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Łączna wartość wszystkich kar należnych na podstawie Umowy nie może przekroczyć wartości brutto wynagrodzenia brutto za dany rok rozliczeniowy i limit ten może ulec automatycznej zmianie, jeżeli w Ustawie Prawo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wień publicznych pojawia się zapisy o maksymalnej wielkości kar Umownych.</w:t>
      </w:r>
    </w:p>
    <w:p w14:paraId="474B8D93" w14:textId="0FEF422C" w:rsidR="00DD7D3A" w:rsidRDefault="00836815" w:rsidP="004A4118">
      <w:pPr>
        <w:numPr>
          <w:ilvl w:val="2"/>
          <w:numId w:val="17"/>
        </w:numPr>
        <w:spacing w:line="259" w:lineRule="auto"/>
        <w:ind w:left="2268" w:hanging="57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Strony zastrzegają sobie prawo dochodzenia odszkodowania uzupełniającego przewyższającego    wysokość    zastrzeżonych    kar    umownych na zasadach 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lnych Kodeksu cywilnego.</w:t>
      </w:r>
    </w:p>
    <w:p w14:paraId="38831D2A" w14:textId="77777777" w:rsidR="00DD7D3A" w:rsidRDefault="00836815">
      <w:pPr>
        <w:numPr>
          <w:ilvl w:val="1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Zgłaszanie problem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w technicznych:</w:t>
      </w:r>
    </w:p>
    <w:p w14:paraId="1902A927" w14:textId="77777777" w:rsidR="00DD7D3A" w:rsidRDefault="00836815" w:rsidP="004A4118">
      <w:pPr>
        <w:numPr>
          <w:ilvl w:val="2"/>
          <w:numId w:val="17"/>
        </w:numPr>
        <w:ind w:left="2268" w:hanging="57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Wymagania dla Service Desk</w:t>
      </w:r>
      <w:r>
        <w:rPr>
          <w:sz w:val="24"/>
          <w:szCs w:val="24"/>
        </w:rPr>
        <w:t xml:space="preserve"> - zgłoszenia będą przekazywane przez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platformy jednym ze sposob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opisanych poniżej. Fakt przekazania zgłoszenia będzie odnotowany w systemie Service Desk Wykonawcy oraz zostanie mu nadany numer identyfikacyjny. Rejestracja zgłoszenia powinna nastąpić nie później niż 10 minut od czasu zarejestrowania zgłoszenia, a użytkownik Platformy winien otrzymać o tym stosowne powiadomienie (np. wiadomość e-mail z potwierdzeniem przyjęcia zgłoszenia wraz z numerem identyfikacyjnym). Zgłoszenia muszą być na czas trwania umowy archiwizowane:</w:t>
      </w:r>
    </w:p>
    <w:p w14:paraId="16200F4B" w14:textId="77777777" w:rsidR="00DD7D3A" w:rsidRDefault="00836815" w:rsidP="004A4118">
      <w:pPr>
        <w:numPr>
          <w:ilvl w:val="3"/>
          <w:numId w:val="17"/>
        </w:numPr>
        <w:ind w:left="2835" w:hanging="8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mailowe </w:t>
      </w:r>
      <w:r>
        <w:rPr>
          <w:sz w:val="24"/>
          <w:szCs w:val="24"/>
        </w:rPr>
        <w:t>- każdy użytkownik platformy może wysłać e-mail ze zgłoszeniem zawierającym opis incydentu lub pytanie na adres poczty elektronicznej Wykonawcy;</w:t>
      </w:r>
    </w:p>
    <w:p w14:paraId="66F766B8" w14:textId="77777777" w:rsidR="00DD7D3A" w:rsidRDefault="00836815" w:rsidP="004A4118">
      <w:pPr>
        <w:numPr>
          <w:ilvl w:val="3"/>
          <w:numId w:val="17"/>
        </w:numPr>
        <w:ind w:left="2835" w:hanging="8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Zgłoszenie telefoniczne</w:t>
      </w:r>
      <w:r>
        <w:rPr>
          <w:sz w:val="24"/>
          <w:szCs w:val="24"/>
        </w:rPr>
        <w:t xml:space="preserve"> - zgłoszenia telefoniczne będą na życzenie rejestrowane przez doradc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Service Desk w systemie Help Desk Wykonawcy w trakcie prowadzenia rozmowy. Osoba zgłaszająca powinna podać opis incydentu lub zadać pytanie wskazując dane kontaktowe (imię, nazwisko, adres e-mail, nr telefonu). Dla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bezpieczeństwa i zachowania należytej </w:t>
      </w:r>
      <w:r>
        <w:rPr>
          <w:sz w:val="24"/>
          <w:szCs w:val="24"/>
        </w:rPr>
        <w:lastRenderedPageBreak/>
        <w:t>staranności wszystkie rozmowy będą nagrywane i przechowywane minimum 1 miesiąc;</w:t>
      </w:r>
    </w:p>
    <w:p w14:paraId="3C2C7CB5" w14:textId="77777777" w:rsidR="00DD7D3A" w:rsidRDefault="00836815" w:rsidP="004A4118">
      <w:pPr>
        <w:numPr>
          <w:ilvl w:val="3"/>
          <w:numId w:val="17"/>
        </w:numPr>
        <w:ind w:left="2835" w:hanging="8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za pośrednictwem formularza dostępnego na platformie </w:t>
      </w:r>
      <w:r>
        <w:rPr>
          <w:sz w:val="24"/>
          <w:szCs w:val="24"/>
        </w:rPr>
        <w:t>- każdy użytkownik platformy może wysłać zgłoszeniem za pomocą formularza dostępnego po zalogowaniu się zawierające opis incydentu lub pytanie na adres poczty elektronicznej Wykonawcy;</w:t>
      </w:r>
    </w:p>
    <w:p w14:paraId="11B8F9C2" w14:textId="77777777" w:rsidR="00DD7D3A" w:rsidRDefault="00836815" w:rsidP="004A4118">
      <w:pPr>
        <w:numPr>
          <w:ilvl w:val="3"/>
          <w:numId w:val="17"/>
        </w:numPr>
        <w:ind w:left="2835" w:hanging="8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za pośrednictwem czatu dostępnego na platformie </w:t>
      </w:r>
      <w:r>
        <w:rPr>
          <w:sz w:val="24"/>
          <w:szCs w:val="24"/>
        </w:rPr>
        <w:t>- każdy użytkownik platformy może wysłać zgłoszeniem za pomocą czatu dostępnego po zalogowaniu się zawierającym opis incydentu lub pytanie na adres poczty elektronicznej Wykonawcy.</w:t>
      </w:r>
    </w:p>
    <w:p w14:paraId="00523E54" w14:textId="77777777" w:rsidR="00DD7D3A" w:rsidRDefault="00836815" w:rsidP="004A4118">
      <w:pPr>
        <w:numPr>
          <w:ilvl w:val="2"/>
          <w:numId w:val="17"/>
        </w:numPr>
        <w:ind w:left="2268" w:hanging="57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Realizacja zgłoszeń</w:t>
      </w:r>
      <w:r>
        <w:rPr>
          <w:sz w:val="24"/>
          <w:szCs w:val="24"/>
        </w:rPr>
        <w:t xml:space="preserve"> - w przypadku, gdy opis zgłoszenia jest niejasny lub niekompletny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wczas doradca Help Desk Zamawiającego powinien zwr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cić się z prośbą do osoby zgłaszającej o uzupełnienie informacji.</w:t>
      </w:r>
    </w:p>
    <w:p w14:paraId="6E2DCE7E" w14:textId="77777777" w:rsidR="00DD7D3A" w:rsidRDefault="00836815" w:rsidP="004A4118">
      <w:pPr>
        <w:numPr>
          <w:ilvl w:val="2"/>
          <w:numId w:val="17"/>
        </w:numPr>
        <w:ind w:left="2268" w:hanging="573"/>
        <w:jc w:val="both"/>
        <w:rPr>
          <w:sz w:val="24"/>
          <w:szCs w:val="24"/>
        </w:rPr>
      </w:pPr>
      <w:r>
        <w:rPr>
          <w:sz w:val="24"/>
          <w:szCs w:val="24"/>
        </w:rPr>
        <w:t>Doradca Service Desk Wykonawcy po zrealizowaniu zgłoszenia odpowiada zgłaszającemu.</w:t>
      </w:r>
    </w:p>
    <w:p w14:paraId="6E579788" w14:textId="77777777" w:rsidR="00DD7D3A" w:rsidRDefault="00836815" w:rsidP="004A4118">
      <w:pPr>
        <w:numPr>
          <w:ilvl w:val="2"/>
          <w:numId w:val="17"/>
        </w:numPr>
        <w:ind w:left="2268" w:hanging="573"/>
        <w:jc w:val="both"/>
        <w:rPr>
          <w:sz w:val="24"/>
          <w:szCs w:val="24"/>
        </w:rPr>
      </w:pPr>
      <w:r>
        <w:rPr>
          <w:sz w:val="24"/>
          <w:szCs w:val="24"/>
        </w:rPr>
        <w:t>W przypadku,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użytkownik uzna, że zgłoszenie nie zostało rozwiązane, może odpisać operatorowi platformy, i tym samym zgłoszenie musi automatycznie się wznowić, zachowują</w:t>
      </w:r>
      <w:r w:rsidRPr="0038130C">
        <w:rPr>
          <w:sz w:val="24"/>
          <w:szCs w:val="24"/>
        </w:rPr>
        <w:t>c histori</w:t>
      </w:r>
      <w:r>
        <w:rPr>
          <w:sz w:val="24"/>
          <w:szCs w:val="24"/>
        </w:rPr>
        <w:t>ę z poprzedniej korespondencji.</w:t>
      </w:r>
    </w:p>
    <w:p w14:paraId="315D29E1" w14:textId="77777777" w:rsidR="00DD7D3A" w:rsidRDefault="00836815" w:rsidP="004A4118">
      <w:pPr>
        <w:numPr>
          <w:ilvl w:val="1"/>
          <w:numId w:val="14"/>
        </w:numPr>
        <w:ind w:left="1560" w:hanging="5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Wymagania licencyjne:</w:t>
      </w:r>
    </w:p>
    <w:p w14:paraId="5E1C5EC0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Zamawiający kupuje usługę w modelu SaaS (Software as a Service - oprogramowanie jako usługa wraz z licencją) zgodnie z zakresem opisanym w postępowaniu.</w:t>
      </w:r>
    </w:p>
    <w:p w14:paraId="016BC691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Operator platformy zakupowej zapewni nielimitowaną ilość kont dla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Zamawiającego.</w:t>
      </w:r>
    </w:p>
    <w:p w14:paraId="1EAD61D9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Operator platformy zakupowej zapewni nielimitowaną ilość kont dla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(jeden wykonawca może posiadać wiele nieodpłatnych kont).</w:t>
      </w:r>
    </w:p>
    <w:p w14:paraId="7C8F8C02" w14:textId="77777777" w:rsidR="00DD7D3A" w:rsidRDefault="00836815" w:rsidP="004A4118">
      <w:pPr>
        <w:numPr>
          <w:ilvl w:val="1"/>
          <w:numId w:val="14"/>
        </w:numPr>
        <w:ind w:left="1560" w:hanging="585"/>
        <w:jc w:val="both"/>
        <w:rPr>
          <w:sz w:val="24"/>
          <w:szCs w:val="24"/>
        </w:rPr>
      </w:pPr>
      <w:r>
        <w:rPr>
          <w:sz w:val="24"/>
          <w:szCs w:val="24"/>
        </w:rPr>
        <w:t>Wymagania funkcjonalne w zakresie systemu:</w:t>
      </w:r>
    </w:p>
    <w:p w14:paraId="29FB2DB0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Operator platformy zakupowej dostarczy system, gdzie oferty w postępowaniach (za wyjątkiem aukcji) mogą być autoryzowane  przy użyciu wyłącznie adresu e-mail - logowanie lub poprzez e-mail bez konieczności rejestrowania się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(weryfikacja po kliknięciu w link potwierdzający złożenie oferty);</w:t>
      </w:r>
    </w:p>
    <w:p w14:paraId="24148C09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Aby dodać nowego wykonawcę Zamawiający jest zobowiązany minimalnie do podania adresu e-mail wykonawcy na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ma otrzymywać zaproszenia do udziału w postępowaniu;</w:t>
      </w:r>
    </w:p>
    <w:p w14:paraId="434CF99B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Ofertę do systemu wraz z załącznikami dołączonymi przez wykonawcę system powinien wyświetlać w formie 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wnawczej i intuicyjnej, co będzie podlegało ocenie;</w:t>
      </w:r>
    </w:p>
    <w:p w14:paraId="7B107BF5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oferty muszą być łatwo 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wnywane poprzez jednostronicowy formularz w systemie, gdzie widoczne będą wszystkie pozycje zapytania lub aukcji wraz z ceną oraz kryteriami Zamawiającego z możliwością łatwego 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wnania ofert na jednym formularzu oraz oceną komisyjną;</w:t>
      </w:r>
    </w:p>
    <w:p w14:paraId="42705F3D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System w przyjazny dla użytkownika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wspierał go będzie w   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wnaniu ofert pod względem cen i kryteri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umożliwiał ocenę komisyjną w postępowaniach;</w:t>
      </w:r>
    </w:p>
    <w:p w14:paraId="6C027D1A" w14:textId="77777777" w:rsidR="00DD7D3A" w:rsidRDefault="00836815" w:rsidP="004A4118">
      <w:pPr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Wykonawcy mają możliwość komunikacji z Zamawiającym bez konieczności posiadania konta. Zamawiający ma możliwość publikowania wiadomości publicznych (dostępnych dla wszystkich uprawnionych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 oraz prywatnych (dostępnych tylko dla wybranego Wykonawcy);</w:t>
      </w:r>
    </w:p>
    <w:p w14:paraId="36863566" w14:textId="77777777" w:rsidR="00DD7D3A" w:rsidRDefault="00836815" w:rsidP="004A4118">
      <w:pPr>
        <w:widowControl w:val="0"/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Możliwość tworzenia podstawowej karty postępowania informującej o np. nazwie postępowania, trybie postępowania, kryteriach oceny ofert, terminie składania i otwarcia ofert;</w:t>
      </w:r>
    </w:p>
    <w:p w14:paraId="55BB53B5" w14:textId="77777777" w:rsidR="00DD7D3A" w:rsidRDefault="00836815" w:rsidP="004A4118">
      <w:pPr>
        <w:widowControl w:val="0"/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Możliwość dokonywania zmian termin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określanych w danym postępowaniu i możliwość ich aktualizacji,</w:t>
      </w:r>
    </w:p>
    <w:p w14:paraId="0E8735CD" w14:textId="77777777" w:rsidR="00DD7D3A" w:rsidRDefault="00836815" w:rsidP="004A4118">
      <w:pPr>
        <w:widowControl w:val="0"/>
        <w:numPr>
          <w:ilvl w:val="2"/>
          <w:numId w:val="14"/>
        </w:numPr>
        <w:ind w:hanging="742"/>
        <w:jc w:val="both"/>
        <w:rPr>
          <w:sz w:val="24"/>
          <w:szCs w:val="24"/>
        </w:rPr>
      </w:pPr>
      <w:r>
        <w:rPr>
          <w:sz w:val="24"/>
          <w:szCs w:val="24"/>
        </w:rPr>
        <w:t>System nie może wymagać od użytkownik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systemu (po stronie Zamawiającego) posiadania kwalifikowanego podpisu elektronicznego.</w:t>
      </w:r>
    </w:p>
    <w:p w14:paraId="7427B44A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Możliwość podział</w:t>
      </w:r>
      <w:r>
        <w:rPr>
          <w:sz w:val="24"/>
          <w:szCs w:val="24"/>
          <w:lang w:val="da-DK"/>
        </w:rPr>
        <w:t>u sk</w:t>
      </w:r>
      <w:r>
        <w:rPr>
          <w:sz w:val="24"/>
          <w:szCs w:val="24"/>
        </w:rPr>
        <w:t>ładanej oferty na część jawną i niejawną, w taki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aby wykonawca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gł wyodrębnić tajemnicę przedsiębiorstwa i aby Zamawiający nie pobrał jej z plikami z ofertą (system umożliwia wyodrębnienie plik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 archiwum postępowania); </w:t>
      </w:r>
    </w:p>
    <w:p w14:paraId="323C6B47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Nienaruszalność złożonych ofert/wniosk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 momentu określonego na godzinę ich otworzenia przez Zamawiającego, dotyczy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wnież,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(oferent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w);</w:t>
      </w:r>
    </w:p>
    <w:p w14:paraId="52EC47F3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Szyfrowanie ofert/wniosk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ich załącznik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 momentu ich odszyfrowania przez Zamawiającego; </w:t>
      </w:r>
    </w:p>
    <w:p w14:paraId="4D912838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Elektroniczne otwarcie ofert zgodnie z wymaganiami Ustawy;</w:t>
      </w:r>
    </w:p>
    <w:p w14:paraId="54C0B83F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Możliwość dodawania plik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zewnętrznych, w tym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po zakończeniu postępowania elektronicznego (np. skarg, odwołań);</w:t>
      </w:r>
    </w:p>
    <w:p w14:paraId="006922CE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Możliwość zamieszczania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różnych formatach zgodnie z art. 18 ustawy z dnia 17.02.2005r. o informatyzacji działalności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realizujących zadania publiczne oraz rozporządzenia Rady Ministr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dnia 12.04.2012r. w sprawie Krajowych Ram Interoperacyjności;</w:t>
      </w:r>
    </w:p>
    <w:p w14:paraId="5C68EB1D" w14:textId="77777777" w:rsidR="00DD7D3A" w:rsidRDefault="00836815" w:rsidP="004A4118">
      <w:pPr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Integrację z Dziennikiem Urzędowym Unii Europejskiej poprzez usługę </w:t>
      </w:r>
      <w:r>
        <w:rPr>
          <w:sz w:val="24"/>
          <w:szCs w:val="24"/>
          <w:lang w:val="de-DE"/>
        </w:rPr>
        <w:t>eSender;</w:t>
      </w:r>
    </w:p>
    <w:p w14:paraId="40108CCE" w14:textId="77777777" w:rsidR="00DD7D3A" w:rsidRDefault="00836815" w:rsidP="004A4118">
      <w:pPr>
        <w:widowControl w:val="0"/>
        <w:numPr>
          <w:ilvl w:val="2"/>
          <w:numId w:val="14"/>
        </w:numPr>
        <w:ind w:hanging="884"/>
        <w:jc w:val="both"/>
        <w:rPr>
          <w:sz w:val="24"/>
          <w:szCs w:val="24"/>
        </w:rPr>
      </w:pPr>
      <w:r>
        <w:rPr>
          <w:sz w:val="24"/>
          <w:szCs w:val="24"/>
        </w:rPr>
        <w:t>System nie może dyskryminować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musi zachować zasady konkurencyjności, np. system nie może:</w:t>
      </w:r>
    </w:p>
    <w:p w14:paraId="55F697D2" w14:textId="77777777" w:rsidR="00DD7D3A" w:rsidRDefault="00836815" w:rsidP="004A4118">
      <w:pPr>
        <w:widowControl w:val="0"/>
        <w:numPr>
          <w:ilvl w:val="3"/>
          <w:numId w:val="14"/>
        </w:numPr>
        <w:ind w:left="2552" w:hanging="1032"/>
        <w:jc w:val="both"/>
        <w:rPr>
          <w:sz w:val="24"/>
          <w:szCs w:val="24"/>
        </w:rPr>
      </w:pPr>
      <w:r>
        <w:rPr>
          <w:sz w:val="24"/>
          <w:szCs w:val="24"/>
        </w:rPr>
        <w:t>Zmuszać do rejestracji wykonawc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aby złożyli ofertę lub przeczytali ogłoszenie o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wieniu;</w:t>
      </w:r>
    </w:p>
    <w:p w14:paraId="702B3D16" w14:textId="77777777" w:rsidR="00DD7D3A" w:rsidRDefault="00836815" w:rsidP="004A4118">
      <w:pPr>
        <w:widowControl w:val="0"/>
        <w:numPr>
          <w:ilvl w:val="3"/>
          <w:numId w:val="14"/>
        </w:numPr>
        <w:ind w:left="2552" w:hanging="10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Narzucać instalacji wybranych komercyjnych rozwiązań </w:t>
      </w:r>
      <w:r>
        <w:rPr>
          <w:sz w:val="24"/>
          <w:szCs w:val="24"/>
        </w:rPr>
        <w:lastRenderedPageBreak/>
        <w:t>potrzebnych do prawidłowego działania systemu;</w:t>
      </w:r>
    </w:p>
    <w:p w14:paraId="45D3611D" w14:textId="77777777" w:rsidR="00DD7D3A" w:rsidRDefault="00836815" w:rsidP="004A4118">
      <w:pPr>
        <w:widowControl w:val="0"/>
        <w:numPr>
          <w:ilvl w:val="3"/>
          <w:numId w:val="14"/>
        </w:numPr>
        <w:ind w:left="2552" w:hanging="1032"/>
        <w:jc w:val="both"/>
        <w:rPr>
          <w:sz w:val="24"/>
          <w:szCs w:val="24"/>
        </w:rPr>
      </w:pPr>
      <w:r>
        <w:rPr>
          <w:sz w:val="24"/>
          <w:szCs w:val="24"/>
        </w:rPr>
        <w:t>Wykluczać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regoś z kwalifikowanych podpis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elektronicznych,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są dopuszczone w krajach Unii Europejskiej;</w:t>
      </w:r>
    </w:p>
    <w:p w14:paraId="59417392" w14:textId="77777777" w:rsidR="00DD7D3A" w:rsidRDefault="00836815" w:rsidP="004A4118">
      <w:pPr>
        <w:widowControl w:val="0"/>
        <w:numPr>
          <w:ilvl w:val="3"/>
          <w:numId w:val="14"/>
        </w:numPr>
        <w:ind w:left="2552" w:hanging="10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Ograniczać </w:t>
      </w:r>
      <w:r w:rsidRPr="0038130C">
        <w:rPr>
          <w:sz w:val="24"/>
          <w:szCs w:val="24"/>
        </w:rPr>
        <w:t>format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przyjmowanych podpis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decyzją wykonawczą Komisji (UE) 2015/1506 z dnia 8 września 2015r. ustanawiającą specyfikacje dotyczą</w:t>
      </w:r>
      <w:r w:rsidRPr="0038130C">
        <w:rPr>
          <w:sz w:val="24"/>
          <w:szCs w:val="24"/>
        </w:rPr>
        <w:t>ce format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zaawansowanych podpis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elektronicznych oraz zaawansowanych pieczęci elektronicznych,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mają być uznane przez podmioty sektora publicznego, zgodnie z art. 27 ust. 5 i art. 37 ust. 5 rozporządzenia Parlamentu Europejskiego i Rady (UE) nr 910/2014 w sprawie identyfikacji elektronicznej i usług zaufania w odniesieniu do transakcji elektronicznych na rynku wewnętrznym (Dz. Urz. UE L 235 z 09.09.2015, str. 37).</w:t>
      </w:r>
    </w:p>
    <w:p w14:paraId="3EFB804E" w14:textId="77777777" w:rsidR="00DD7D3A" w:rsidRDefault="00DD7D3A">
      <w:pPr>
        <w:jc w:val="both"/>
        <w:rPr>
          <w:b/>
          <w:bCs/>
          <w:sz w:val="24"/>
          <w:szCs w:val="24"/>
        </w:rPr>
      </w:pPr>
    </w:p>
    <w:p w14:paraId="1AD14D17" w14:textId="7926F3CD" w:rsidR="00DD7D3A" w:rsidRPr="00444D12" w:rsidRDefault="00DD7D3A" w:rsidP="00444D12">
      <w:pPr>
        <w:spacing w:line="360" w:lineRule="auto"/>
      </w:pPr>
    </w:p>
    <w:sectPr w:rsidR="00DD7D3A" w:rsidRPr="00444D12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8A12" w14:textId="77777777" w:rsidR="000235D7" w:rsidRDefault="000235D7">
      <w:pPr>
        <w:spacing w:line="240" w:lineRule="auto"/>
      </w:pPr>
      <w:r>
        <w:separator/>
      </w:r>
    </w:p>
  </w:endnote>
  <w:endnote w:type="continuationSeparator" w:id="0">
    <w:p w14:paraId="54A9DA89" w14:textId="77777777" w:rsidR="000235D7" w:rsidRDefault="0002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4AE9" w14:textId="77777777" w:rsidR="00F66C2F" w:rsidRDefault="00F66C2F">
    <w:pPr>
      <w:widowControl w:val="0"/>
      <w:tabs>
        <w:tab w:val="center" w:pos="4536"/>
        <w:tab w:val="right" w:pos="9000"/>
      </w:tabs>
      <w:spacing w:before="40" w:line="240" w:lineRule="auto"/>
      <w:jc w:val="center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87CA4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87CA4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6B3E" w14:textId="77777777" w:rsidR="000235D7" w:rsidRDefault="000235D7">
      <w:r>
        <w:separator/>
      </w:r>
    </w:p>
  </w:footnote>
  <w:footnote w:type="continuationSeparator" w:id="0">
    <w:p w14:paraId="7771CD04" w14:textId="77777777" w:rsidR="000235D7" w:rsidRDefault="000235D7">
      <w:r>
        <w:continuationSeparator/>
      </w:r>
    </w:p>
  </w:footnote>
  <w:footnote w:type="continuationNotice" w:id="1">
    <w:p w14:paraId="33E70420" w14:textId="77777777" w:rsidR="000235D7" w:rsidRDefault="000235D7"/>
  </w:footnote>
  <w:footnote w:id="2">
    <w:p w14:paraId="156AC43B" w14:textId="77777777" w:rsidR="00F66C2F" w:rsidRDefault="00F66C2F">
      <w:pPr>
        <w:spacing w:line="240" w:lineRule="auto"/>
        <w:jc w:val="both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sz w:val="12"/>
          <w:szCs w:val="12"/>
        </w:rPr>
        <w:t>Software as a Service (z ang. oprogramowanie jako usługa wraz z licencją) to zakup usługi wraz z oprogramowaniem i licencją oraz  aktualizacją systemu, pomocą techniczną, zarządzaniem serwerami oraz rozwojem systemu.</w:t>
      </w:r>
    </w:p>
  </w:footnote>
  <w:footnote w:id="3">
    <w:p w14:paraId="3BF6BC10" w14:textId="77777777" w:rsidR="00F66C2F" w:rsidRDefault="00F66C2F">
      <w:pPr>
        <w:spacing w:line="240" w:lineRule="auto"/>
      </w:pPr>
      <w:r>
        <w:rPr>
          <w:sz w:val="24"/>
          <w:szCs w:val="24"/>
          <w:vertAlign w:val="superscript"/>
        </w:rPr>
        <w:footnoteRef/>
      </w:r>
      <w:r>
        <w:rPr>
          <w:sz w:val="12"/>
          <w:szCs w:val="12"/>
        </w:rPr>
        <w:t xml:space="preserve"> Nie więcej niż wartości umowy abonamentowej. Kara rozliczana będzie na koniec każdego roku obowiązywania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31FD" w14:textId="77777777" w:rsidR="00F66C2F" w:rsidRDefault="00F66C2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CC"/>
    <w:multiLevelType w:val="hybridMultilevel"/>
    <w:tmpl w:val="83F25862"/>
    <w:numStyleLink w:val="Zaimportowanystyl2"/>
  </w:abstractNum>
  <w:abstractNum w:abstractNumId="1" w15:restartNumberingAfterBreak="0">
    <w:nsid w:val="090528C5"/>
    <w:multiLevelType w:val="multilevel"/>
    <w:tmpl w:val="49C680B4"/>
    <w:styleLink w:val="Zaimportowanystyl1"/>
    <w:lvl w:ilvl="0">
      <w:start w:val="1"/>
      <w:numFmt w:val="decimal"/>
      <w:lvlText w:val="%1."/>
      <w:lvlJc w:val="left"/>
      <w:pPr>
        <w:ind w:left="72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5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7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29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01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73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5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74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FC5221"/>
    <w:multiLevelType w:val="multilevel"/>
    <w:tmpl w:val="8E9A4A02"/>
    <w:numStyleLink w:val="Zaimportowanystyl3"/>
  </w:abstractNum>
  <w:abstractNum w:abstractNumId="3" w15:restartNumberingAfterBreak="0">
    <w:nsid w:val="2FDC503F"/>
    <w:multiLevelType w:val="hybridMultilevel"/>
    <w:tmpl w:val="83F25862"/>
    <w:styleLink w:val="Zaimportowanystyl2"/>
    <w:lvl w:ilvl="0" w:tplc="F9C6CB2E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25884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8056C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40D50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4AA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43A0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AA00C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28E62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0FB1E">
      <w:start w:val="1"/>
      <w:numFmt w:val="bullet"/>
      <w:lvlText w:val="❏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08138E"/>
    <w:multiLevelType w:val="multilevel"/>
    <w:tmpl w:val="01C40A20"/>
    <w:lvl w:ilvl="0">
      <w:start w:val="1"/>
      <w:numFmt w:val="lowerRoman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E1FB5"/>
    <w:multiLevelType w:val="hybridMultilevel"/>
    <w:tmpl w:val="1A548396"/>
    <w:lvl w:ilvl="0" w:tplc="7FA2F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69B"/>
    <w:multiLevelType w:val="multilevel"/>
    <w:tmpl w:val="650CD21C"/>
    <w:styleLink w:val="Zaimportowanystyl4"/>
    <w:lvl w:ilvl="0">
      <w:start w:val="1"/>
      <w:numFmt w:val="decimal"/>
      <w:lvlText w:val="%1."/>
      <w:lvlJc w:val="left"/>
      <w:pPr>
        <w:ind w:left="72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C21907"/>
    <w:multiLevelType w:val="multilevel"/>
    <w:tmpl w:val="650CD21C"/>
    <w:numStyleLink w:val="Zaimportowanystyl4"/>
  </w:abstractNum>
  <w:abstractNum w:abstractNumId="8" w15:restartNumberingAfterBreak="0">
    <w:nsid w:val="6D3D12C2"/>
    <w:multiLevelType w:val="multilevel"/>
    <w:tmpl w:val="49C680B4"/>
    <w:numStyleLink w:val="Zaimportowanystyl1"/>
  </w:abstractNum>
  <w:abstractNum w:abstractNumId="9" w15:restartNumberingAfterBreak="0">
    <w:nsid w:val="6F9169A8"/>
    <w:multiLevelType w:val="multilevel"/>
    <w:tmpl w:val="2E12F37E"/>
    <w:lvl w:ilvl="0">
      <w:start w:val="2"/>
      <w:numFmt w:val="lowerRoman"/>
      <w:lvlText w:val="%1)"/>
      <w:lvlJc w:val="left"/>
      <w:pPr>
        <w:ind w:left="1506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65E4B32"/>
    <w:multiLevelType w:val="multilevel"/>
    <w:tmpl w:val="8E9A4A02"/>
    <w:styleLink w:val="Zaimportowanystyl3"/>
    <w:lvl w:ilvl="0">
      <w:start w:val="1"/>
      <w:numFmt w:val="decimal"/>
      <w:lvlText w:val="%1."/>
      <w:lvlJc w:val="left"/>
      <w:pPr>
        <w:ind w:left="72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</w:tabs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67"/>
          </w:tabs>
          <w:ind w:left="21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</w:tabs>
          <w:ind w:left="288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</w:tabs>
          <w:ind w:left="360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</w:tabs>
          <w:ind w:left="432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</w:tabs>
          <w:ind w:left="50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</w:tabs>
          <w:ind w:left="57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</w:tabs>
          <w:ind w:left="648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9"/>
      <w:lvl w:ilvl="0">
        <w:start w:val="9"/>
        <w:numFmt w:val="decimal"/>
        <w:lvlText w:val="%1."/>
        <w:lvlJc w:val="left"/>
        <w:pPr>
          <w:ind w:left="7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01"/>
          </w:tabs>
          <w:ind w:left="268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1"/>
          </w:tabs>
          <w:ind w:left="340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1"/>
          </w:tabs>
          <w:ind w:left="412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561"/>
          </w:tabs>
          <w:ind w:left="484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281"/>
          </w:tabs>
          <w:ind w:left="556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01"/>
          </w:tabs>
          <w:ind w:left="628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21"/>
          </w:tabs>
          <w:ind w:left="700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41"/>
          </w:tabs>
          <w:ind w:left="7726" w:hanging="1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1">
      <w:startOverride w:val="7"/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01"/>
          </w:tabs>
          <w:ind w:left="1445" w:hanging="4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1"/>
          </w:tabs>
          <w:ind w:left="216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1"/>
          </w:tabs>
          <w:ind w:left="288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561"/>
          </w:tabs>
          <w:ind w:left="360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281"/>
          </w:tabs>
          <w:ind w:left="432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01"/>
          </w:tabs>
          <w:ind w:left="504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21"/>
          </w:tabs>
          <w:ind w:left="576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41"/>
          </w:tabs>
          <w:ind w:left="6485" w:hanging="47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1">
      <w:startOverride w:val="2"/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0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6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0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2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41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"/>
    <w:lvlOverride w:ilvl="0">
      <w:startOverride w:val="2"/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68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0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6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0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2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4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  <w:lvlOverride w:ilvl="0">
      <w:startOverride w:val="3"/>
    </w:lvlOverride>
  </w:num>
  <w:num w:numId="26">
    <w:abstractNumId w:val="7"/>
    <w:lvlOverride w:ilvl="1">
      <w:startOverride w:val="2"/>
    </w:lvlOverride>
  </w:num>
  <w:num w:numId="27">
    <w:abstractNumId w:val="7"/>
    <w:lvlOverride w:ilvl="0">
      <w:startOverride w:val="4"/>
    </w:lvlOverride>
  </w:num>
  <w:num w:numId="28">
    <w:abstractNumId w:val="7"/>
    <w:lvlOverride w:ilvl="0">
      <w:startOverride w:val="5"/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4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0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6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0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2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41" w:hanging="4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1">
      <w:startOverride w:val="2"/>
    </w:lvlOverride>
  </w:num>
  <w:num w:numId="32">
    <w:abstractNumId w:val="7"/>
    <w:lvlOverride w:ilvl="1">
      <w:startOverride w:val="3"/>
    </w:lvlOverride>
  </w:num>
  <w:num w:numId="33">
    <w:abstractNumId w:val="7"/>
    <w:lvlOverride w:ilvl="1">
      <w:startOverride w:val="4"/>
    </w:lvlOverride>
  </w:num>
  <w:num w:numId="34">
    <w:abstractNumId w:val="7"/>
    <w:lvlOverride w:ilvl="1">
      <w:startOverride w:val="5"/>
    </w:lvlOverride>
  </w:num>
  <w:num w:numId="35">
    <w:abstractNumId w:val="7"/>
    <w:lvlOverride w:ilvl="1">
      <w:startOverride w:val="6"/>
    </w:lvlOverride>
  </w:num>
  <w:num w:numId="36">
    <w:abstractNumId w:val="4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3A"/>
    <w:rsid w:val="000235D7"/>
    <w:rsid w:val="000B6277"/>
    <w:rsid w:val="0038130C"/>
    <w:rsid w:val="003B3C52"/>
    <w:rsid w:val="00444D12"/>
    <w:rsid w:val="004A4118"/>
    <w:rsid w:val="00567D76"/>
    <w:rsid w:val="005A2C77"/>
    <w:rsid w:val="006A761A"/>
    <w:rsid w:val="00836815"/>
    <w:rsid w:val="0083714D"/>
    <w:rsid w:val="00A87CA4"/>
    <w:rsid w:val="00DA040B"/>
    <w:rsid w:val="00DD7D3A"/>
    <w:rsid w:val="00E411C0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673"/>
  <w15:docId w15:val="{F428681B-8529-4072-A840-812F59A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link w:val="AkapitzlistZnak"/>
    <w:uiPriority w:val="99"/>
    <w:qFormat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13"/>
      </w:numPr>
    </w:pPr>
  </w:style>
  <w:style w:type="numbering" w:customStyle="1" w:styleId="Zaimportowanystyl4">
    <w:name w:val="Zaimportowany styl 4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0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99"/>
    <w:qFormat/>
    <w:locked/>
    <w:rsid w:val="00567D76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5645</Words>
  <Characters>33873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oem</cp:lastModifiedBy>
  <cp:revision>8</cp:revision>
  <dcterms:created xsi:type="dcterms:W3CDTF">2021-04-01T04:55:00Z</dcterms:created>
  <dcterms:modified xsi:type="dcterms:W3CDTF">2021-04-02T12:59:00Z</dcterms:modified>
</cp:coreProperties>
</file>