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33203F" w:rsidRPr="0033203F">
        <w:rPr>
          <w:rFonts w:asciiTheme="minorHAnsi" w:eastAsia="Verdana,Bold" w:hAnsiTheme="minorHAnsi"/>
          <w:bCs/>
        </w:rPr>
        <w:t>Wyłapywanie i hotelowanie (utrzymywanie) bezdomnych zwierząt z terenu Gminy Sulejów w schronisku dla bezdomnych zwierząt w 2023 roku</w:t>
      </w:r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9076C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33203F" w:rsidRPr="001D0A65" w:rsidRDefault="0033203F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lastRenderedPageBreak/>
        <w:t>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E1466"/>
    <w:rsid w:val="00313B2C"/>
    <w:rsid w:val="00320EBA"/>
    <w:rsid w:val="00326173"/>
    <w:rsid w:val="0033203F"/>
    <w:rsid w:val="00335784"/>
    <w:rsid w:val="003517DD"/>
    <w:rsid w:val="00380FB8"/>
    <w:rsid w:val="003A4D9D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4B4D-6B23-43EA-A16E-A7DA2892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9</cp:revision>
  <cp:lastPrinted>2022-11-08T09:57:00Z</cp:lastPrinted>
  <dcterms:created xsi:type="dcterms:W3CDTF">2022-04-29T11:44:00Z</dcterms:created>
  <dcterms:modified xsi:type="dcterms:W3CDTF">2022-11-08T09:58:00Z</dcterms:modified>
</cp:coreProperties>
</file>