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30253CB4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EB2D06">
        <w:rPr>
          <w:rFonts w:cstheme="minorHAnsi"/>
          <w:b/>
          <w:bCs/>
          <w:i/>
          <w:iCs/>
        </w:rPr>
        <w:t>dostaw</w:t>
      </w:r>
      <w:r w:rsidR="00613A77">
        <w:rPr>
          <w:rFonts w:cstheme="minorHAnsi"/>
          <w:b/>
          <w:bCs/>
          <w:i/>
          <w:iCs/>
        </w:rPr>
        <w:t>a</w:t>
      </w:r>
      <w:r w:rsidR="00EB2D06">
        <w:rPr>
          <w:rFonts w:cstheme="minorHAnsi"/>
          <w:b/>
          <w:bCs/>
          <w:i/>
          <w:iCs/>
        </w:rPr>
        <w:t xml:space="preserve"> </w:t>
      </w:r>
      <w:r w:rsidR="00CD4EB4">
        <w:rPr>
          <w:rFonts w:cstheme="minorHAnsi"/>
          <w:b/>
          <w:bCs/>
          <w:i/>
          <w:iCs/>
        </w:rPr>
        <w:t>systemu telewizji dozorowej IP</w:t>
      </w:r>
      <w:r w:rsidR="00585086">
        <w:rPr>
          <w:rFonts w:cstheme="minorHAnsi"/>
          <w:b/>
          <w:bCs/>
          <w:i/>
          <w:iCs/>
        </w:rPr>
        <w:t xml:space="preserve"> symbol DKW.2233.</w:t>
      </w:r>
      <w:r w:rsidR="00F047A2">
        <w:rPr>
          <w:rFonts w:cstheme="minorHAnsi"/>
          <w:b/>
          <w:bCs/>
          <w:i/>
          <w:iCs/>
        </w:rPr>
        <w:t>40</w:t>
      </w:r>
      <w:r w:rsidR="00585086">
        <w:rPr>
          <w:rFonts w:cstheme="minorHAnsi"/>
          <w:b/>
          <w:bCs/>
          <w:i/>
          <w:iCs/>
        </w:rPr>
        <w:t>.202</w:t>
      </w:r>
      <w:r w:rsidR="00954DC2">
        <w:rPr>
          <w:rFonts w:cstheme="minorHAnsi"/>
          <w:b/>
          <w:bCs/>
          <w:i/>
          <w:iCs/>
        </w:rPr>
        <w:t>3.</w:t>
      </w:r>
      <w:r w:rsidR="00F047A2">
        <w:rPr>
          <w:rFonts w:cstheme="minorHAnsi"/>
          <w:b/>
          <w:bCs/>
          <w:i/>
          <w:iCs/>
        </w:rPr>
        <w:t>BM</w:t>
      </w:r>
      <w:bookmarkStart w:id="2" w:name="_GoBack"/>
      <w:bookmarkEnd w:id="2"/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2B2B49"/>
    <w:rsid w:val="002D0E2F"/>
    <w:rsid w:val="0038227D"/>
    <w:rsid w:val="003A7F08"/>
    <w:rsid w:val="003D0FBD"/>
    <w:rsid w:val="004057A3"/>
    <w:rsid w:val="004A6263"/>
    <w:rsid w:val="00585086"/>
    <w:rsid w:val="005B03EC"/>
    <w:rsid w:val="005F65EF"/>
    <w:rsid w:val="00613A77"/>
    <w:rsid w:val="00771AEF"/>
    <w:rsid w:val="00822120"/>
    <w:rsid w:val="009470AF"/>
    <w:rsid w:val="00954DC2"/>
    <w:rsid w:val="00992ADA"/>
    <w:rsid w:val="00B23FDA"/>
    <w:rsid w:val="00B244D1"/>
    <w:rsid w:val="00B269C4"/>
    <w:rsid w:val="00C00F31"/>
    <w:rsid w:val="00C32565"/>
    <w:rsid w:val="00C673E9"/>
    <w:rsid w:val="00CD4EB4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047A2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CE1B-AEC3-4A93-BA7B-6F4C4AEF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12</cp:revision>
  <cp:lastPrinted>2022-12-05T15:14:00Z</cp:lastPrinted>
  <dcterms:created xsi:type="dcterms:W3CDTF">2022-12-05T15:01:00Z</dcterms:created>
  <dcterms:modified xsi:type="dcterms:W3CDTF">2023-06-29T11:05:00Z</dcterms:modified>
</cp:coreProperties>
</file>