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276" w:lineRule="auto"/>
        <w:ind w:firstLine="708" w:left="3540" w:right="0"/>
        <w:contextualSpacing w:val="false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Załącznik nr 1 do Umowy</w:t>
      </w:r>
    </w:p>
    <w:p>
      <w:pPr>
        <w:pStyle w:val="style0"/>
        <w:spacing w:after="0" w:before="0" w:line="276" w:lineRule="auto"/>
        <w:contextualSpacing w:val="false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276" w:lineRule="auto"/>
        <w:contextualSpacing w:val="false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276" w:lineRule="auto"/>
        <w:contextualSpacing w:val="false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OPIS PRZEDMIOTU ZAMÓWIENIA </w:t>
      </w:r>
    </w:p>
    <w:p>
      <w:pPr>
        <w:pStyle w:val="style0"/>
        <w:spacing w:after="0" w:before="0" w:line="276" w:lineRule="auto"/>
        <w:contextualSpacing w:val="false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line="276" w:lineRule="auto"/>
        <w:ind w:firstLine="426" w:left="-142" w:right="0"/>
        <w:jc w:val="both"/>
        <w:rPr>
          <w:rFonts w:ascii="Times New Roman" w:cs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eastAsia="ar-SA"/>
        </w:rPr>
        <w:t>Przedmiotem zamówienia jest:</w:t>
      </w:r>
    </w:p>
    <w:p>
      <w:pPr>
        <w:pStyle w:val="style29"/>
        <w:numPr>
          <w:ilvl w:val="0"/>
          <w:numId w:val="2"/>
        </w:numPr>
        <w:tabs>
          <w:tab w:leader="none" w:pos="993" w:val="left"/>
        </w:tabs>
        <w:spacing w:after="0" w:before="0" w:line="276" w:lineRule="auto"/>
        <w:ind w:hanging="567" w:left="567" w:right="0"/>
        <w:contextualSpacing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cs="Times New Roman" w:hAnsi="Times New Roman"/>
          <w:sz w:val="24"/>
          <w:szCs w:val="24"/>
        </w:rPr>
        <w:t>dostawa tłumików dźwięku do pistoletu maszynowego 9 mm HK MP 5  szczegółowo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pl-PL"/>
        </w:rPr>
        <w:t xml:space="preserve"> opisanych w niniejszym opisie przedmiotu zamówienia, </w:t>
      </w:r>
    </w:p>
    <w:p>
      <w:pPr>
        <w:pStyle w:val="style35"/>
        <w:numPr>
          <w:ilvl w:val="0"/>
          <w:numId w:val="2"/>
        </w:numPr>
        <w:tabs>
          <w:tab w:leader="none" w:pos="993" w:val="left"/>
        </w:tabs>
        <w:spacing w:line="276" w:lineRule="auto"/>
        <w:ind w:hanging="567" w:left="567" w:right="0"/>
        <w:jc w:val="both"/>
        <w:rPr>
          <w:rFonts w:ascii="Times New Roman" w:cs="Times New Roman" w:eastAsia="Times New Roman" w:hAnsi="Times New Roman"/>
          <w:bCs/>
          <w:sz w:val="24"/>
          <w:szCs w:val="24"/>
          <w:lang w:eastAsia="ar-SA"/>
        </w:rPr>
      </w:pPr>
      <w:bookmarkStart w:id="0" w:name="_Hlk74307385"/>
      <w:bookmarkEnd w:id="0"/>
      <w:r>
        <w:rPr>
          <w:rFonts w:ascii="Times New Roman" w:cs="Times New Roman" w:eastAsia="Times New Roman" w:hAnsi="Times New Roman"/>
          <w:bCs/>
          <w:sz w:val="24"/>
          <w:szCs w:val="24"/>
          <w:lang w:eastAsia="ar-SA"/>
        </w:rPr>
        <w:t>udzielenie Zamawiającemu gwarancji na przedmiot zamówienia na warunkach szczegółowo określonych we wzorze umowy,</w:t>
      </w:r>
    </w:p>
    <w:p>
      <w:pPr>
        <w:pStyle w:val="style0"/>
        <w:spacing w:after="0" w:before="0" w:line="276" w:lineRule="auto"/>
        <w:contextualSpacing w:val="false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276" w:lineRule="auto"/>
        <w:contextualSpacing w:val="false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9"/>
        <w:numPr>
          <w:ilvl w:val="0"/>
          <w:numId w:val="1"/>
        </w:numPr>
        <w:spacing w:after="0" w:before="0" w:line="276" w:lineRule="auto"/>
        <w:contextualSpacing/>
        <w:jc w:val="both"/>
        <w:rPr>
          <w:rFonts w:ascii="Times New Roman" w:cs="Times New Roman" w:hAnsi="Times New Roman"/>
          <w:b/>
          <w:i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</w:rPr>
        <w:t>Charakterystyka urządzenia.</w:t>
      </w:r>
    </w:p>
    <w:p>
      <w:pPr>
        <w:pStyle w:val="style0"/>
        <w:spacing w:after="0" w:before="0" w:line="276" w:lineRule="auto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9"/>
        <w:ind w:hanging="0" w:left="0"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Tłumik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dźwięku firmy B&amp;T kompatybilny z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9 mm </w:t>
      </w:r>
      <w:r>
        <w:rPr>
          <w:rFonts w:ascii="Times New Roman" w:cs="Times New Roman" w:eastAsia="Times New Roman" w:hAnsi="Times New Roman"/>
          <w:sz w:val="24"/>
          <w:szCs w:val="24"/>
        </w:rPr>
        <w:t>pistoletem maszynowym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HK MP5.</w:t>
      </w:r>
    </w:p>
    <w:p>
      <w:pPr>
        <w:pStyle w:val="style0"/>
        <w:spacing w:after="0" w:before="0" w:line="276" w:lineRule="auto"/>
        <w:contextualSpacing w:val="false"/>
        <w:jc w:val="both"/>
        <w:rPr>
          <w:rFonts w:ascii="Times New Roman" w:cs="Times New Roman" w:hAnsi="Times New Roman"/>
          <w:b/>
          <w:i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</w:rPr>
      </w:r>
    </w:p>
    <w:p>
      <w:pPr>
        <w:pStyle w:val="style29"/>
        <w:numPr>
          <w:ilvl w:val="0"/>
          <w:numId w:val="1"/>
        </w:numPr>
        <w:spacing w:after="0" w:before="0" w:line="276" w:lineRule="auto"/>
        <w:contextualSpacing/>
        <w:jc w:val="both"/>
        <w:rPr>
          <w:rFonts w:ascii="Times New Roman" w:cs="Times New Roman" w:hAnsi="Times New Roman"/>
          <w:b/>
          <w:i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</w:rPr>
        <w:t>Specyfikacja techniczna:</w:t>
      </w:r>
    </w:p>
    <w:p>
      <w:pPr>
        <w:pStyle w:val="style0"/>
        <w:spacing w:after="0" w:before="0" w:line="276" w:lineRule="auto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producent B&amp;T,</w:t>
      </w:r>
    </w:p>
    <w:p>
      <w:pPr>
        <w:pStyle w:val="style0"/>
        <w:spacing w:after="0" w:before="0" w:line="276" w:lineRule="auto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kod producenta SD-123377</w:t>
      </w:r>
    </w:p>
    <w:p>
      <w:pPr>
        <w:pStyle w:val="style0"/>
        <w:spacing w:after="0" w:before="0" w:line="276" w:lineRule="auto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materiał aluminium,</w:t>
      </w:r>
    </w:p>
    <w:p>
      <w:pPr>
        <w:pStyle w:val="style0"/>
        <w:spacing w:after="0" w:before="0" w:line="276" w:lineRule="auto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masa 397 g,</w:t>
      </w:r>
    </w:p>
    <w:p>
      <w:pPr>
        <w:pStyle w:val="style0"/>
        <w:spacing w:after="0" w:before="0" w:line="276" w:lineRule="auto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kolor czarny,</w:t>
      </w:r>
    </w:p>
    <w:p>
      <w:pPr>
        <w:pStyle w:val="style0"/>
        <w:spacing w:after="0" w:before="0" w:line="276" w:lineRule="auto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wykończenie - anodyzacja,</w:t>
      </w:r>
    </w:p>
    <w:p>
      <w:pPr>
        <w:pStyle w:val="style0"/>
        <w:spacing w:after="0" w:before="0" w:line="276" w:lineRule="auto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długość 208,2mm,</w:t>
      </w:r>
    </w:p>
    <w:p>
      <w:pPr>
        <w:pStyle w:val="style0"/>
        <w:spacing w:after="0" w:before="0" w:line="276" w:lineRule="auto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średnica 45,7 mm,</w:t>
      </w:r>
    </w:p>
    <w:p>
      <w:pPr>
        <w:pStyle w:val="style0"/>
        <w:spacing w:after="0" w:before="0" w:line="276" w:lineRule="auto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montaż Tri-Lug.</w:t>
      </w:r>
      <w:bookmarkStart w:id="1" w:name="_GoBack"/>
      <w:bookmarkEnd w:id="1"/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after="0" w:before="0" w:line="276" w:lineRule="auto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276" w:lineRule="auto"/>
        <w:contextualSpacing w:val="false"/>
        <w:jc w:val="both"/>
        <w:rPr>
          <w:rFonts w:ascii="Times New Roman" w:cs="Times New Roman" w:hAnsi="Times New Roman"/>
          <w:b/>
          <w:i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</w:rPr>
      </w:r>
    </w:p>
    <w:p>
      <w:pPr>
        <w:pStyle w:val="style29"/>
        <w:numPr>
          <w:ilvl w:val="0"/>
          <w:numId w:val="1"/>
        </w:numPr>
        <w:spacing w:after="0" w:before="0" w:line="276" w:lineRule="auto"/>
        <w:contextualSpacing/>
        <w:jc w:val="both"/>
        <w:rPr>
          <w:rFonts w:ascii="Times New Roman" w:cs="Times New Roman" w:hAnsi="Times New Roman"/>
          <w:b/>
          <w:i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</w:rPr>
        <w:t>Wymagania dotyczące gwarancji:</w:t>
      </w:r>
    </w:p>
    <w:p>
      <w:pPr>
        <w:pStyle w:val="style0"/>
        <w:spacing w:after="0" w:before="0" w:line="276" w:lineRule="auto"/>
        <w:ind w:firstLine="426" w:left="0" w:right="0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</w:t>
      </w:r>
      <w:r>
        <w:rPr>
          <w:rFonts w:ascii="Times New Roman" w:cs="Times New Roman" w:hAnsi="Times New Roman"/>
          <w:sz w:val="24"/>
          <w:szCs w:val="24"/>
        </w:rPr>
        <w:t>-min. 24 miesięcy,</w:t>
      </w:r>
    </w:p>
    <w:p>
      <w:pPr>
        <w:pStyle w:val="style0"/>
        <w:spacing w:after="0" w:before="0" w:line="276" w:lineRule="auto"/>
        <w:ind w:firstLine="426" w:left="0" w:right="0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9"/>
        <w:numPr>
          <w:ilvl w:val="0"/>
          <w:numId w:val="1"/>
        </w:numPr>
        <w:spacing w:after="0" w:before="0" w:line="276" w:lineRule="auto"/>
        <w:contextualSpacing/>
        <w:jc w:val="both"/>
        <w:rPr>
          <w:rFonts w:ascii="Times New Roman" w:cs="Times New Roman" w:hAnsi="Times New Roman"/>
          <w:b/>
          <w:i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</w:rPr>
        <w:t>Wymagane dokumenty:</w:t>
      </w:r>
    </w:p>
    <w:p>
      <w:pPr>
        <w:pStyle w:val="style0"/>
        <w:spacing w:after="0" w:before="0" w:line="276" w:lineRule="auto"/>
        <w:ind w:hanging="0" w:left="708" w:right="0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Dokumentacja eksploatacyjna w języku polskim,</w:t>
      </w:r>
    </w:p>
    <w:p>
      <w:pPr>
        <w:pStyle w:val="style0"/>
        <w:spacing w:after="0" w:before="0" w:line="276" w:lineRule="auto"/>
        <w:ind w:hanging="0" w:left="708" w:right="0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Karta gwarancyjna (zawierająca warunki gwarancji),</w:t>
      </w:r>
    </w:p>
    <w:p>
      <w:pPr>
        <w:pStyle w:val="style0"/>
        <w:spacing w:line="276" w:lineRule="auto"/>
        <w:jc w:val="both"/>
        <w:rPr/>
      </w:pPr>
      <w:r>
        <w:rPr/>
      </w:r>
    </w:p>
    <w:sectPr>
      <w:type w:val="nextPage"/>
      <w:pgSz w:h="16838" w:w="11906"/>
      <w:pgMar w:bottom="1843" w:footer="0" w:gutter="0" w:header="0" w:left="1417" w:right="849" w:top="1418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swiss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786"/>
      </w:pPr>
    </w:lvl>
    <w:lvl w:ilvl="1">
      <w:start w:val="1"/>
      <w:numFmt w:val="lowerLetter"/>
      <w:lvlText w:val="%2."/>
      <w:lvlJc w:val="left"/>
      <w:pPr>
        <w:ind w:hanging="360" w:left="1506"/>
      </w:pPr>
    </w:lvl>
    <w:lvl w:ilvl="2">
      <w:start w:val="1"/>
      <w:numFmt w:val="lowerRoman"/>
      <w:lvlText w:val="%3."/>
      <w:lvlJc w:val="right"/>
      <w:pPr>
        <w:ind w:hanging="180" w:left="2226"/>
      </w:pPr>
    </w:lvl>
    <w:lvl w:ilvl="3">
      <w:start w:val="1"/>
      <w:numFmt w:val="decimal"/>
      <w:lvlText w:val="%4."/>
      <w:lvlJc w:val="left"/>
      <w:pPr>
        <w:ind w:hanging="360" w:left="2946"/>
      </w:pPr>
    </w:lvl>
    <w:lvl w:ilvl="4">
      <w:start w:val="1"/>
      <w:numFmt w:val="lowerLetter"/>
      <w:lvlText w:val="%5."/>
      <w:lvlJc w:val="left"/>
      <w:pPr>
        <w:ind w:hanging="360" w:left="3666"/>
      </w:pPr>
    </w:lvl>
    <w:lvl w:ilvl="5">
      <w:start w:val="1"/>
      <w:numFmt w:val="lowerRoman"/>
      <w:lvlText w:val="%6."/>
      <w:lvlJc w:val="right"/>
      <w:pPr>
        <w:ind w:hanging="180" w:left="4386"/>
      </w:pPr>
    </w:lvl>
    <w:lvl w:ilvl="6">
      <w:start w:val="1"/>
      <w:numFmt w:val="decimal"/>
      <w:lvlText w:val="%7."/>
      <w:lvlJc w:val="left"/>
      <w:pPr>
        <w:ind w:hanging="360" w:left="5106"/>
      </w:pPr>
    </w:lvl>
    <w:lvl w:ilvl="7">
      <w:start w:val="1"/>
      <w:numFmt w:val="lowerLetter"/>
      <w:lvlText w:val="%8."/>
      <w:lvlJc w:val="left"/>
      <w:pPr>
        <w:ind w:hanging="360" w:left="5826"/>
      </w:pPr>
    </w:lvl>
    <w:lvl w:ilvl="8">
      <w:start w:val="1"/>
      <w:numFmt w:val="lowerRoman"/>
      <w:lvlText w:val="%9."/>
      <w:lvlJc w:val="right"/>
      <w:pPr>
        <w:ind w:hanging="180" w:left="6546"/>
      </w:pPr>
    </w:lvl>
  </w:abstractNum>
  <w:abstractNum w:abstractNumId="2">
    <w:lvl w:ilvl="0">
      <w:start w:val="1"/>
      <w:numFmt w:val="decimal"/>
      <w:lvlText w:val="%1"/>
      <w:lvlJc w:val="left"/>
      <w:pPr>
        <w:ind w:hanging="360" w:left="720"/>
      </w:pPr>
    </w:lvl>
    <w:lvl w:ilvl="1">
      <w:start w:val="1"/>
      <w:numFmt w:val="lowerLetter"/>
      <w:lvlText w:val="%2"/>
      <w:lvlJc w:val="left"/>
      <w:pPr>
        <w:ind w:hanging="360" w:left="1440"/>
      </w:pPr>
    </w:lvl>
    <w:lvl w:ilvl="2">
      <w:start w:val="1"/>
      <w:numFmt w:val="lowerRoman"/>
      <w:lvlText w:val="%3"/>
      <w:lvlJc w:val="right"/>
      <w:pPr>
        <w:ind w:hanging="180" w:left="2160"/>
      </w:pPr>
    </w:lvl>
    <w:lvl w:ilvl="3">
      <w:start w:val="1"/>
      <w:numFmt w:val="decimal"/>
      <w:lvlText w:val="%4"/>
      <w:lvlJc w:val="left"/>
      <w:pPr>
        <w:ind w:hanging="360" w:left="2880"/>
      </w:pPr>
    </w:lvl>
    <w:lvl w:ilvl="4">
      <w:start w:val="1"/>
      <w:numFmt w:val="lowerLetter"/>
      <w:lvlText w:val="%5"/>
      <w:lvlJc w:val="left"/>
      <w:pPr>
        <w:ind w:hanging="360" w:left="3600"/>
      </w:pPr>
    </w:lvl>
    <w:lvl w:ilvl="5">
      <w:start w:val="1"/>
      <w:numFmt w:val="lowerRoman"/>
      <w:lvlText w:val="%6"/>
      <w:lvlJc w:val="right"/>
      <w:pPr>
        <w:ind w:hanging="180" w:left="4320"/>
      </w:pPr>
    </w:lvl>
    <w:lvl w:ilvl="6">
      <w:start w:val="1"/>
      <w:numFmt w:val="decimal"/>
      <w:lvlText w:val="%7"/>
      <w:lvlJc w:val="left"/>
      <w:pPr>
        <w:ind w:hanging="360" w:left="5040"/>
      </w:pPr>
    </w:lvl>
    <w:lvl w:ilvl="7">
      <w:start w:val="1"/>
      <w:numFmt w:val="lowerLetter"/>
      <w:lvlText w:val="%8"/>
      <w:lvlJc w:val="left"/>
      <w:pPr>
        <w:ind w:hanging="360" w:left="5760"/>
      </w:pPr>
    </w:lvl>
    <w:lvl w:ilvl="8">
      <w:start w:val="1"/>
      <w:numFmt w:val="lowerRoman"/>
      <w:lvlText w:val="%9"/>
      <w:lvlJc w:val="right"/>
      <w:pPr>
        <w:ind w:hanging="180" w:left="64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2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160" w:before="0" w:line="25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pl-PL"/>
    </w:rPr>
  </w:style>
  <w:style w:styleId="style15" w:type="character">
    <w:name w:val="Default Paragraph Font"/>
    <w:next w:val="style15"/>
    <w:rPr/>
  </w:style>
  <w:style w:styleId="style16" w:type="character">
    <w:name w:val="annotation reference"/>
    <w:basedOn w:val="style15"/>
    <w:next w:val="style16"/>
    <w:rPr>
      <w:sz w:val="16"/>
      <w:szCs w:val="16"/>
    </w:rPr>
  </w:style>
  <w:style w:styleId="style17" w:type="character">
    <w:name w:val="Tekst komentarza Znak"/>
    <w:basedOn w:val="style15"/>
    <w:next w:val="style17"/>
    <w:rPr>
      <w:sz w:val="20"/>
      <w:szCs w:val="20"/>
    </w:rPr>
  </w:style>
  <w:style w:styleId="style18" w:type="character">
    <w:name w:val="Temat komentarza Znak"/>
    <w:basedOn w:val="style17"/>
    <w:next w:val="style18"/>
    <w:rPr>
      <w:b/>
      <w:bCs/>
      <w:sz w:val="20"/>
      <w:szCs w:val="20"/>
    </w:rPr>
  </w:style>
  <w:style w:styleId="style19" w:type="character">
    <w:name w:val="Tekst dymka Znak"/>
    <w:basedOn w:val="style15"/>
    <w:next w:val="style19"/>
    <w:rPr>
      <w:rFonts w:ascii="Tahoma" w:cs="Tahoma" w:hAnsi="Tahoma"/>
      <w:sz w:val="16"/>
      <w:szCs w:val="16"/>
    </w:rPr>
  </w:style>
  <w:style w:styleId="style20" w:type="character">
    <w:name w:val="Nagłówek Znak"/>
    <w:basedOn w:val="style15"/>
    <w:next w:val="style20"/>
    <w:rPr/>
  </w:style>
  <w:style w:styleId="style21" w:type="character">
    <w:name w:val="Stopka Znak"/>
    <w:basedOn w:val="style15"/>
    <w:next w:val="style21"/>
    <w:rPr/>
  </w:style>
  <w:style w:styleId="style22" w:type="character">
    <w:name w:val="Akapit z listą Znak"/>
    <w:next w:val="style22"/>
    <w:rPr/>
  </w:style>
  <w:style w:styleId="style23" w:type="character">
    <w:name w:val="ListLabel 1"/>
    <w:next w:val="style23"/>
    <w:rPr>
      <w:rFonts w:cs="Courier New"/>
    </w:rPr>
  </w:style>
  <w:style w:styleId="style24" w:type="paragraph">
    <w:name w:val="Nagłówek"/>
    <w:basedOn w:val="style0"/>
    <w:next w:val="style25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5" w:type="paragraph">
    <w:name w:val="Treść tekstu"/>
    <w:basedOn w:val="style0"/>
    <w:next w:val="style25"/>
    <w:pPr>
      <w:spacing w:after="120" w:before="0"/>
      <w:contextualSpacing w:val="false"/>
    </w:pPr>
    <w:rPr/>
  </w:style>
  <w:style w:styleId="style26" w:type="paragraph">
    <w:name w:val="Lista"/>
    <w:basedOn w:val="style25"/>
    <w:next w:val="style26"/>
    <w:pPr/>
    <w:rPr>
      <w:rFonts w:cs="Mangal"/>
    </w:rPr>
  </w:style>
  <w:style w:styleId="style27" w:type="paragraph">
    <w:name w:val="Podpis"/>
    <w:basedOn w:val="style0"/>
    <w:next w:val="style27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8" w:type="paragraph">
    <w:name w:val="Indeks"/>
    <w:basedOn w:val="style0"/>
    <w:next w:val="style28"/>
    <w:pPr>
      <w:suppressLineNumbers/>
    </w:pPr>
    <w:rPr>
      <w:rFonts w:cs="Mangal"/>
    </w:rPr>
  </w:style>
  <w:style w:styleId="style29" w:type="paragraph">
    <w:name w:val="List Paragraph"/>
    <w:basedOn w:val="style0"/>
    <w:next w:val="style29"/>
    <w:pPr>
      <w:spacing w:after="160" w:before="0"/>
      <w:ind w:hanging="0" w:left="720" w:right="0"/>
      <w:contextualSpacing/>
    </w:pPr>
    <w:rPr/>
  </w:style>
  <w:style w:styleId="style30" w:type="paragraph">
    <w:name w:val="annotation text"/>
    <w:basedOn w:val="style0"/>
    <w:next w:val="style30"/>
    <w:pPr>
      <w:spacing w:line="100" w:lineRule="atLeast"/>
    </w:pPr>
    <w:rPr>
      <w:sz w:val="20"/>
      <w:szCs w:val="20"/>
    </w:rPr>
  </w:style>
  <w:style w:styleId="style31" w:type="paragraph">
    <w:name w:val="annotation subject"/>
    <w:basedOn w:val="style30"/>
    <w:next w:val="style31"/>
    <w:pPr/>
    <w:rPr>
      <w:b/>
      <w:bCs/>
    </w:rPr>
  </w:style>
  <w:style w:styleId="style32" w:type="paragraph">
    <w:name w:val="Balloon Text"/>
    <w:basedOn w:val="style0"/>
    <w:next w:val="style32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  <w:style w:styleId="style33" w:type="paragraph">
    <w:name w:val="Główka"/>
    <w:basedOn w:val="style0"/>
    <w:next w:val="style33"/>
    <w:pPr>
      <w:tabs>
        <w:tab w:leader="none" w:pos="4536" w:val="center"/>
        <w:tab w:leader="none" w:pos="9072" w:val="right"/>
      </w:tabs>
      <w:spacing w:after="0" w:before="0" w:line="100" w:lineRule="atLeast"/>
      <w:contextualSpacing w:val="false"/>
    </w:pPr>
    <w:rPr/>
  </w:style>
  <w:style w:styleId="style34" w:type="paragraph">
    <w:name w:val="Stopka"/>
    <w:basedOn w:val="style0"/>
    <w:next w:val="style34"/>
    <w:pPr>
      <w:tabs>
        <w:tab w:leader="none" w:pos="4536" w:val="center"/>
        <w:tab w:leader="none" w:pos="9072" w:val="right"/>
      </w:tabs>
      <w:spacing w:after="0" w:before="0" w:line="100" w:lineRule="atLeast"/>
      <w:contextualSpacing w:val="false"/>
    </w:pPr>
    <w:rPr/>
  </w:style>
  <w:style w:styleId="style35" w:type="paragraph">
    <w:name w:val="No Spacing"/>
    <w:next w:val="style35"/>
    <w:pPr>
      <w:widowControl/>
      <w:suppressAutoHyphens w:val="true"/>
      <w:spacing w:after="0" w:before="0" w:line="100" w:lineRule="atLeast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pl-P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2024-08-20T07:07:00Z</dcterms:created>
  <dc:creator>jaroslawgierasimiuk</dc:creator>
  <cp:lastModifiedBy>jaroslawgierasimiuk</cp:lastModifiedBy>
  <cp:lastPrinted>2023-10-27T06:16:00Z</cp:lastPrinted>
  <dcterms:modified xsi:type="dcterms:W3CDTF">2024-08-20T07:07:00Z</dcterms:modified>
  <cp:revision>2</cp:revision>
</cp:coreProperties>
</file>