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011BBA65" w:rsidR="000E0809" w:rsidRPr="002266DB" w:rsidRDefault="00506009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</w:rPr>
        <w:t>0</w:t>
      </w:r>
      <w:r w:rsidR="00963365" w:rsidRPr="002266DB">
        <w:rPr>
          <w:rFonts w:ascii="Arial" w:hAnsi="Arial" w:cs="Arial"/>
          <w:sz w:val="22"/>
        </w:rPr>
        <w:t>Załącznik nr 7.</w:t>
      </w:r>
      <w:r w:rsidR="00A0356E">
        <w:rPr>
          <w:rFonts w:ascii="Arial" w:hAnsi="Arial" w:cs="Arial"/>
          <w:sz w:val="22"/>
        </w:rPr>
        <w:t>2</w:t>
      </w:r>
      <w:r w:rsidR="00963365" w:rsidRPr="002266DB">
        <w:rPr>
          <w:rFonts w:ascii="Arial" w:hAnsi="Arial" w:cs="Arial"/>
          <w:sz w:val="22"/>
        </w:rPr>
        <w:t xml:space="preserve"> do SWZ</w:t>
      </w:r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1E49E2B7" w14:textId="35D1B4AA" w:rsidR="000E0809" w:rsidRPr="00CF218B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dniu, pomiędzy</w:t>
      </w:r>
      <w:r w:rsidR="00CF218B">
        <w:rPr>
          <w:rFonts w:ascii="Arial" w:hAnsi="Arial" w:cs="Arial"/>
          <w:sz w:val="22"/>
          <w:lang w:eastAsia="pl-PL"/>
        </w:rPr>
        <w:t>: Skarbem Państwa –</w:t>
      </w:r>
      <w:r w:rsidRPr="00963365">
        <w:rPr>
          <w:rFonts w:ascii="Arial" w:hAnsi="Arial" w:cs="Arial"/>
          <w:sz w:val="22"/>
          <w:lang w:eastAsia="pl-PL"/>
        </w:rPr>
        <w:t xml:space="preserve"> </w:t>
      </w:r>
      <w:r w:rsidR="00963365">
        <w:rPr>
          <w:rFonts w:ascii="Arial" w:hAnsi="Arial" w:cs="Arial"/>
          <w:sz w:val="22"/>
          <w:lang w:eastAsia="pl-PL"/>
        </w:rPr>
        <w:t>Głównym Inspektoratem Rybołówstwa Morskiego</w:t>
      </w:r>
      <w:r w:rsidR="00CF218B"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  <w:r w:rsidR="00CF218B"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 siedzibą w przy ul., 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1FCA5A88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Dz.U.2021</w:t>
      </w:r>
      <w:r w:rsidR="00A522CA" w:rsidRPr="004768C0">
        <w:rPr>
          <w:rFonts w:ascii="Arial" w:hAnsi="Arial" w:cs="Arial"/>
          <w:sz w:val="22"/>
          <w:lang w:eastAsia="pl-PL"/>
        </w:rPr>
        <w:t xml:space="preserve"> r. </w:t>
      </w:r>
      <w:r w:rsidR="0001078F" w:rsidRPr="004768C0">
        <w:rPr>
          <w:rFonts w:ascii="Arial" w:hAnsi="Arial" w:cs="Arial"/>
          <w:sz w:val="22"/>
          <w:lang w:eastAsia="pl-PL"/>
        </w:rPr>
        <w:t>poz. 1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01078F" w:rsidRPr="004768C0">
        <w:rPr>
          <w:rFonts w:ascii="Arial" w:hAnsi="Arial" w:cs="Arial"/>
          <w:sz w:val="22"/>
          <w:lang w:eastAsia="pl-PL"/>
        </w:rPr>
        <w:t>2</w:t>
      </w:r>
      <w:r w:rsidR="008968C8" w:rsidRPr="004768C0">
        <w:rPr>
          <w:rFonts w:ascii="Arial" w:hAnsi="Arial" w:cs="Arial"/>
          <w:sz w:val="22"/>
          <w:lang w:eastAsia="pl-PL"/>
        </w:rPr>
        <w:t>9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</w:t>
      </w:r>
      <w:proofErr w:type="spellStart"/>
      <w:r w:rsidR="00E330B9" w:rsidRPr="004768C0">
        <w:rPr>
          <w:rFonts w:ascii="Arial" w:hAnsi="Arial" w:cs="Arial"/>
          <w:sz w:val="22"/>
          <w:lang w:eastAsia="pl-PL"/>
        </w:rPr>
        <w:t>Pzp</w:t>
      </w:r>
      <w:proofErr w:type="spellEnd"/>
      <w:r w:rsidR="00E330B9" w:rsidRPr="004768C0">
        <w:rPr>
          <w:rFonts w:ascii="Arial" w:hAnsi="Arial" w:cs="Arial"/>
          <w:sz w:val="22"/>
          <w:lang w:eastAsia="pl-PL"/>
        </w:rPr>
        <w:t>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2738369F" w:rsidR="00323227" w:rsidRPr="002C1753" w:rsidRDefault="000E0809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</w:t>
      </w:r>
      <w:r w:rsidR="00A33D5A" w:rsidRPr="002C1753">
        <w:rPr>
          <w:rFonts w:ascii="Arial" w:hAnsi="Arial" w:cs="Arial"/>
          <w:sz w:val="22"/>
          <w:lang w:eastAsia="pl-PL"/>
        </w:rPr>
        <w:t xml:space="preserve">Zadanie nr </w:t>
      </w:r>
      <w:r w:rsidR="00A0356E" w:rsidRPr="002C1753">
        <w:rPr>
          <w:rFonts w:ascii="Arial" w:hAnsi="Arial" w:cs="Arial"/>
          <w:sz w:val="22"/>
          <w:lang w:eastAsia="pl-PL"/>
        </w:rPr>
        <w:t>2</w:t>
      </w:r>
      <w:r w:rsidR="00A33D5A" w:rsidRPr="002C1753">
        <w:rPr>
          <w:rFonts w:ascii="Arial" w:hAnsi="Arial" w:cs="Arial"/>
          <w:sz w:val="22"/>
          <w:lang w:eastAsia="pl-PL"/>
        </w:rPr>
        <w:t xml:space="preserve"> Ubezpieczenie </w:t>
      </w:r>
      <w:r w:rsidR="00A0356E" w:rsidRPr="002C1753">
        <w:rPr>
          <w:rFonts w:ascii="Arial" w:hAnsi="Arial" w:cs="Arial"/>
          <w:sz w:val="22"/>
          <w:lang w:eastAsia="pl-PL"/>
        </w:rPr>
        <w:t>komunikacyjne pojazdów</w:t>
      </w:r>
      <w:r w:rsidR="002E0579" w:rsidRPr="002C1753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2C1753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3964394F" w:rsidR="00323227" w:rsidRPr="002C1753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od odpowiedzialności cywilnej posiadacza pojazdów (OC)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5014AE66" w14:textId="0D51101B" w:rsidR="00323227" w:rsidRPr="002C1753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Autocasco (AC)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0CECB272" w14:textId="0A15BDB4" w:rsidR="00323227" w:rsidRPr="002C1753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2C1753">
        <w:rPr>
          <w:rFonts w:ascii="Arial" w:hAnsi="Arial" w:cs="Arial"/>
          <w:sz w:val="22"/>
          <w:lang w:eastAsia="pl-PL"/>
        </w:rPr>
        <w:t>następstw nieszczęśliwych wypadków (NNW)</w:t>
      </w:r>
      <w:r w:rsidR="00323227" w:rsidRPr="002C1753">
        <w:rPr>
          <w:rFonts w:ascii="Arial" w:hAnsi="Arial" w:cs="Arial"/>
          <w:sz w:val="22"/>
          <w:lang w:eastAsia="pl-PL"/>
        </w:rPr>
        <w:t>,</w:t>
      </w:r>
    </w:p>
    <w:p w14:paraId="7F1B5650" w14:textId="0E57666B" w:rsidR="00A0356E" w:rsidRPr="002C1753" w:rsidRDefault="00E777F5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u</w:t>
      </w:r>
      <w:r w:rsidR="00A0356E" w:rsidRPr="002C1753">
        <w:rPr>
          <w:rFonts w:ascii="Arial" w:hAnsi="Arial" w:cs="Arial"/>
          <w:sz w:val="22"/>
          <w:lang w:eastAsia="pl-PL"/>
        </w:rPr>
        <w:t>bezpieczenie Szyby,</w:t>
      </w:r>
    </w:p>
    <w:p w14:paraId="7E4B9FBE" w14:textId="3BB4BEF3" w:rsidR="00A0356E" w:rsidRPr="002C1753" w:rsidRDefault="00E777F5" w:rsidP="00E777F5">
      <w:pPr>
        <w:pStyle w:val="Akapitzlist"/>
        <w:numPr>
          <w:ilvl w:val="0"/>
          <w:numId w:val="15"/>
        </w:numPr>
        <w:spacing w:before="120" w:after="120" w:line="276" w:lineRule="auto"/>
        <w:ind w:left="850" w:hanging="425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ubezpieczenie Assistance,</w:t>
      </w:r>
    </w:p>
    <w:p w14:paraId="395FD97D" w14:textId="2A455608" w:rsidR="00A33D5A" w:rsidRPr="008436A2" w:rsidRDefault="000E0809" w:rsidP="00E777F5">
      <w:pPr>
        <w:spacing w:after="0" w:line="312" w:lineRule="auto"/>
        <w:ind w:left="425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6801EB5C" w:rsidR="000E0809" w:rsidRPr="00183DDA" w:rsidRDefault="00E85B37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</w:t>
      </w:r>
      <w:r w:rsidR="00FC39D8" w:rsidRPr="002C1753">
        <w:rPr>
          <w:rFonts w:ascii="Arial" w:hAnsi="Arial" w:cs="Arial"/>
          <w:sz w:val="22"/>
          <w:lang w:eastAsia="pl-PL"/>
        </w:rPr>
        <w:t>1 pkt 1-</w:t>
      </w:r>
      <w:r w:rsidR="00A0356E" w:rsidRPr="002C1753">
        <w:rPr>
          <w:rFonts w:ascii="Arial" w:hAnsi="Arial" w:cs="Arial"/>
          <w:sz w:val="22"/>
          <w:lang w:eastAsia="pl-PL"/>
        </w:rPr>
        <w:t>5</w:t>
      </w:r>
      <w:r w:rsidR="000E0809" w:rsidRPr="002C1753">
        <w:rPr>
          <w:rFonts w:ascii="Arial" w:hAnsi="Arial" w:cs="Arial"/>
          <w:sz w:val="22"/>
          <w:lang w:eastAsia="pl-PL"/>
        </w:rPr>
        <w:t xml:space="preserve">, </w:t>
      </w:r>
      <w:r w:rsidR="000E0809" w:rsidRPr="00D02489">
        <w:rPr>
          <w:rFonts w:ascii="Arial" w:hAnsi="Arial" w:cs="Arial"/>
          <w:sz w:val="22"/>
          <w:lang w:eastAsia="pl-PL"/>
        </w:rPr>
        <w:t xml:space="preserve">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1D47F2" w:rsidRPr="00183DDA">
        <w:rPr>
          <w:rFonts w:ascii="Arial" w:hAnsi="Arial" w:cs="Arial"/>
          <w:sz w:val="22"/>
          <w:lang w:eastAsia="pl-PL"/>
        </w:rPr>
        <w:t xml:space="preserve">nie krótszym niż </w:t>
      </w:r>
      <w:r w:rsidR="00E235E2" w:rsidRPr="00183DDA">
        <w:rPr>
          <w:rFonts w:ascii="Arial" w:hAnsi="Arial" w:cs="Arial"/>
          <w:b/>
          <w:bCs/>
          <w:sz w:val="22"/>
          <w:lang w:eastAsia="pl-PL"/>
        </w:rPr>
        <w:t>7 dni</w:t>
      </w:r>
      <w:r w:rsidR="00E235E2" w:rsidRPr="00183DDA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423D2BCA" w:rsidR="004D0A0F" w:rsidRDefault="004D0A0F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A77D56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przedmiotu umowy:</w:t>
      </w:r>
    </w:p>
    <w:p w14:paraId="250CA0A9" w14:textId="29BF3446" w:rsidR="004D0A0F" w:rsidRPr="00183DDA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07E3737F" w14:textId="60C16501" w:rsidR="00B649F9" w:rsidRPr="002C1753" w:rsidRDefault="00B649F9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Prawo opcji:</w:t>
      </w:r>
    </w:p>
    <w:p w14:paraId="764CBB17" w14:textId="572EA00B" w:rsidR="00C17727" w:rsidRPr="002C1753" w:rsidRDefault="00C17727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lastRenderedPageBreak/>
        <w:t>Zamawiający</w:t>
      </w:r>
      <w:r w:rsidR="006F669A" w:rsidRPr="002C1753">
        <w:rPr>
          <w:rFonts w:ascii="Arial" w:hAnsi="Arial" w:cs="Arial"/>
          <w:sz w:val="22"/>
          <w:lang w:eastAsia="pl-PL"/>
        </w:rPr>
        <w:t>,</w:t>
      </w:r>
      <w:r w:rsidRPr="002C1753">
        <w:rPr>
          <w:rFonts w:ascii="Arial" w:hAnsi="Arial" w:cs="Arial"/>
          <w:sz w:val="22"/>
          <w:lang w:eastAsia="pl-PL"/>
        </w:rPr>
        <w:t xml:space="preserve"> zgodnie z zapisami SWZ </w:t>
      </w:r>
      <w:r w:rsidR="006F669A" w:rsidRPr="002C1753">
        <w:rPr>
          <w:rFonts w:ascii="Arial" w:hAnsi="Arial" w:cs="Arial"/>
          <w:sz w:val="22"/>
          <w:lang w:eastAsia="pl-PL"/>
        </w:rPr>
        <w:t xml:space="preserve">i załącznikami, </w:t>
      </w:r>
      <w:r w:rsidRPr="002C1753">
        <w:rPr>
          <w:rFonts w:ascii="Arial" w:hAnsi="Arial" w:cs="Arial"/>
          <w:sz w:val="22"/>
          <w:lang w:eastAsia="pl-PL"/>
        </w:rPr>
        <w:t>w ramach przewidzianego prawa opcji zastrzega możliwość włączenia do umowy 4 pojazdów wskazanych w SWZ i Załączniki nr 1.4 do SWZ, przy czym włączenie dotyczyć może jednego lub kilku pojazdów,</w:t>
      </w:r>
      <w:r w:rsidR="006F669A" w:rsidRPr="002C1753">
        <w:rPr>
          <w:rFonts w:ascii="Arial" w:hAnsi="Arial" w:cs="Arial"/>
          <w:sz w:val="22"/>
          <w:lang w:eastAsia="pl-PL"/>
        </w:rPr>
        <w:t xml:space="preserve"> w różnych terminach,</w:t>
      </w:r>
    </w:p>
    <w:p w14:paraId="70A4BB1D" w14:textId="722758EC" w:rsidR="00C17727" w:rsidRPr="002C1753" w:rsidRDefault="00C17727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>Zamawiający zastrzega iż prawo opcji nie stanowi zobowiązania</w:t>
      </w:r>
      <w:r w:rsidR="00582BA9" w:rsidRPr="002C1753">
        <w:rPr>
          <w:rFonts w:ascii="Arial" w:hAnsi="Arial" w:cs="Arial"/>
          <w:sz w:val="22"/>
          <w:lang w:eastAsia="pl-PL"/>
        </w:rPr>
        <w:t xml:space="preserve"> umownego (w tym finansowego) Zamawiającego zaciąganego w momencie zawarcia umowy, a przewidywalny zakres opcjonalny zamówienia nie jest gwarantowany do realizacji; tym samym, w przypadku skorzystania przez Zamawiającego z prawa opcji, jego zobowiązanie finansowe wynikające z niniejszej umowy ulegnie proporcjonalnemu zwiększeniu,</w:t>
      </w:r>
    </w:p>
    <w:p w14:paraId="6A8B4F1E" w14:textId="39DC7695" w:rsidR="00582BA9" w:rsidRPr="002C1753" w:rsidRDefault="00582BA9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2C1753">
        <w:rPr>
          <w:rFonts w:ascii="Arial" w:hAnsi="Arial" w:cs="Arial"/>
          <w:sz w:val="22"/>
          <w:lang w:eastAsia="pl-PL"/>
        </w:rPr>
        <w:t xml:space="preserve">Skorzystanie z prawa opcji nie stanowi zmiany warunków niniejszej umowy, nie wymaga aneksu do umowy i następuje poprzez złożenie </w:t>
      </w:r>
      <w:r w:rsidR="006F669A" w:rsidRPr="002C1753">
        <w:rPr>
          <w:rFonts w:ascii="Arial" w:hAnsi="Arial" w:cs="Arial"/>
          <w:sz w:val="22"/>
          <w:lang w:eastAsia="pl-PL"/>
        </w:rPr>
        <w:t>przez Zamawiającego Oświadczenia podpisanego przez umocowaną osobę,</w:t>
      </w:r>
    </w:p>
    <w:p w14:paraId="59BDFF44" w14:textId="5E004234" w:rsidR="006F669A" w:rsidRPr="00506009" w:rsidRDefault="006F669A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506009">
        <w:rPr>
          <w:rFonts w:ascii="Arial" w:hAnsi="Arial" w:cs="Arial"/>
          <w:sz w:val="22"/>
          <w:lang w:eastAsia="pl-PL"/>
        </w:rPr>
        <w:t>Obecnie pojazdy objęte prawem opcji są w trakcie budowy; prawo opcji będzie miało zastosowanie</w:t>
      </w:r>
      <w:r w:rsidR="00162C44" w:rsidRPr="00506009">
        <w:rPr>
          <w:rFonts w:ascii="Arial" w:hAnsi="Arial" w:cs="Arial"/>
          <w:sz w:val="22"/>
          <w:lang w:eastAsia="pl-PL"/>
        </w:rPr>
        <w:t xml:space="preserve"> </w:t>
      </w:r>
      <w:r w:rsidRPr="00506009">
        <w:rPr>
          <w:rFonts w:ascii="Arial" w:hAnsi="Arial" w:cs="Arial"/>
          <w:sz w:val="22"/>
          <w:lang w:eastAsia="pl-PL"/>
        </w:rPr>
        <w:t>pod warunkiem zakończenia dostawy i podpisaniu przez strony Protokołu odbioru, na podstawie którego zostanie wystawiona faktura.</w:t>
      </w:r>
    </w:p>
    <w:p w14:paraId="27B7855C" w14:textId="73FD8D05" w:rsidR="001E3646" w:rsidRPr="00EF2A07" w:rsidRDefault="001E3646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>mowy oraz 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OWU Wykonawcy</w:t>
      </w:r>
      <w:r w:rsidRPr="00EF2A07">
        <w:rPr>
          <w:rFonts w:ascii="Arial" w:hAnsi="Arial" w:cs="Arial"/>
          <w:sz w:val="22"/>
          <w:lang w:eastAsia="pl-PL"/>
        </w:rPr>
        <w:t>, chyba, że z ich treści wynikają zapisy korzystniejsze dla Zamawiającego.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224E03DB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8436A2" w:rsidRPr="00D02489">
        <w:rPr>
          <w:rFonts w:ascii="Arial" w:hAnsi="Arial" w:cs="Arial"/>
          <w:b/>
          <w:bCs/>
          <w:sz w:val="22"/>
        </w:rPr>
        <w:t>2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FB22EE" w:rsidRPr="00D02489">
        <w:rPr>
          <w:rFonts w:ascii="Arial" w:hAnsi="Arial" w:cs="Arial"/>
          <w:sz w:val="22"/>
        </w:rPr>
        <w:t>2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 xml:space="preserve">.2023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4656DC91" w14:textId="106A6A35" w:rsidR="00E109E7" w:rsidRPr="00E109E7" w:rsidRDefault="00F156E0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2C1753">
        <w:rPr>
          <w:rFonts w:ascii="Arial" w:hAnsi="Arial" w:cs="Arial"/>
          <w:color w:val="auto"/>
          <w:sz w:val="22"/>
          <w:szCs w:val="22"/>
          <w:lang w:eastAsia="pl-PL"/>
        </w:rPr>
        <w:t xml:space="preserve">Maksymalne </w:t>
      </w:r>
      <w:r w:rsidR="00E109E7" w:rsidRPr="002C1753">
        <w:rPr>
          <w:rFonts w:ascii="Arial" w:hAnsi="Arial" w:cs="Arial"/>
          <w:color w:val="auto"/>
          <w:sz w:val="22"/>
          <w:szCs w:val="22"/>
          <w:lang w:eastAsia="pl-PL"/>
        </w:rPr>
        <w:t xml:space="preserve">łączne </w:t>
      </w:r>
      <w:r w:rsidR="00EB521F" w:rsidRPr="002C1753">
        <w:rPr>
          <w:rFonts w:ascii="Arial" w:hAnsi="Arial" w:cs="Arial"/>
          <w:color w:val="auto"/>
          <w:sz w:val="22"/>
          <w:szCs w:val="22"/>
          <w:lang w:eastAsia="pl-PL"/>
        </w:rPr>
        <w:t>w</w:t>
      </w:r>
      <w:r w:rsidR="001E10C9" w:rsidRPr="002C1753">
        <w:rPr>
          <w:rFonts w:ascii="Arial" w:hAnsi="Arial" w:cs="Arial"/>
          <w:color w:val="auto"/>
          <w:sz w:val="22"/>
          <w:szCs w:val="22"/>
          <w:lang w:eastAsia="pl-PL"/>
        </w:rPr>
        <w:t xml:space="preserve">ynagrodzenie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</w:t>
      </w:r>
      <w:proofErr w:type="spellStart"/>
      <w:r w:rsidR="005C62D6">
        <w:rPr>
          <w:rFonts w:ascii="Arial" w:hAnsi="Arial" w:cs="Arial"/>
          <w:color w:val="auto"/>
          <w:sz w:val="22"/>
          <w:szCs w:val="22"/>
          <w:lang w:eastAsia="pl-PL"/>
        </w:rPr>
        <w:t>ek</w:t>
      </w:r>
      <w:proofErr w:type="spellEnd"/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a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została ustalona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E109E7">
        <w:rPr>
          <w:rFonts w:ascii="Arial" w:hAnsi="Arial" w:cs="Arial"/>
          <w:color w:val="auto"/>
          <w:sz w:val="22"/>
          <w:szCs w:val="22"/>
          <w:lang w:eastAsia="pl-PL"/>
        </w:rPr>
        <w:t>,</w:t>
      </w:r>
    </w:p>
    <w:p w14:paraId="0AE9AFF4" w14:textId="77777777" w:rsidR="00E109E7" w:rsidRPr="002C1753" w:rsidRDefault="00E109E7" w:rsidP="00E109E7">
      <w:pPr>
        <w:pStyle w:val="Default"/>
        <w:spacing w:line="276" w:lineRule="auto"/>
        <w:ind w:left="426"/>
        <w:rPr>
          <w:rFonts w:ascii="Arial" w:hAnsi="Arial" w:cs="Arial"/>
          <w:color w:val="auto"/>
          <w:sz w:val="22"/>
          <w:szCs w:val="22"/>
          <w:lang w:eastAsia="pl-PL"/>
        </w:rPr>
      </w:pPr>
      <w:r w:rsidRPr="002C1753">
        <w:rPr>
          <w:rFonts w:ascii="Arial" w:hAnsi="Arial" w:cs="Arial"/>
          <w:color w:val="auto"/>
          <w:sz w:val="22"/>
          <w:szCs w:val="22"/>
          <w:lang w:eastAsia="pl-PL"/>
        </w:rPr>
        <w:t>w tym:</w:t>
      </w:r>
    </w:p>
    <w:p w14:paraId="5F30402F" w14:textId="7A32F980" w:rsidR="00E109E7" w:rsidRPr="002C1753" w:rsidRDefault="00E109E7" w:rsidP="00E109E7">
      <w:pPr>
        <w:pStyle w:val="Default"/>
        <w:spacing w:line="276" w:lineRule="auto"/>
        <w:ind w:left="426"/>
        <w:rPr>
          <w:rFonts w:ascii="Arial" w:hAnsi="Arial" w:cs="Arial"/>
          <w:color w:val="auto"/>
          <w:sz w:val="22"/>
          <w:szCs w:val="22"/>
          <w:lang w:eastAsia="pl-PL"/>
        </w:rPr>
      </w:pPr>
      <w:r w:rsidRPr="002C1753">
        <w:rPr>
          <w:rFonts w:ascii="Arial" w:hAnsi="Arial" w:cs="Arial"/>
          <w:color w:val="auto"/>
          <w:sz w:val="22"/>
          <w:szCs w:val="22"/>
          <w:lang w:eastAsia="pl-PL"/>
        </w:rPr>
        <w:t>zamówienie podstawowe (bez opcji) wynosi: zł,</w:t>
      </w:r>
    </w:p>
    <w:p w14:paraId="12F17327" w14:textId="6E92866C" w:rsidR="007A2E3B" w:rsidRPr="002C1753" w:rsidRDefault="00E109E7" w:rsidP="00E109E7">
      <w:pPr>
        <w:pStyle w:val="Default"/>
        <w:spacing w:line="276" w:lineRule="auto"/>
        <w:ind w:left="426"/>
        <w:rPr>
          <w:rFonts w:ascii="Arial" w:hAnsi="Arial" w:cs="Arial"/>
          <w:color w:val="auto"/>
          <w:sz w:val="22"/>
          <w:szCs w:val="22"/>
          <w:lang w:eastAsia="pl-PL"/>
        </w:rPr>
      </w:pPr>
      <w:r w:rsidRPr="002C1753">
        <w:rPr>
          <w:rFonts w:ascii="Arial" w:hAnsi="Arial" w:cs="Arial"/>
          <w:color w:val="auto"/>
          <w:sz w:val="22"/>
          <w:szCs w:val="22"/>
          <w:lang w:eastAsia="pl-PL"/>
        </w:rPr>
        <w:t>zamówienie objęte prawem opcji wynosi: zł.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C1753">
        <w:rPr>
          <w:rFonts w:ascii="Arial" w:hAnsi="Arial" w:cs="Arial"/>
          <w:color w:val="auto"/>
          <w:sz w:val="22"/>
          <w:szCs w:val="22"/>
        </w:rPr>
        <w:t xml:space="preserve">Wszystkie ubezpieczenia oraz doubezpieczenia 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1B9FACE7" w:rsidR="00DE2065" w:rsidRPr="002F566C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2F566C">
        <w:rPr>
          <w:rFonts w:ascii="Arial" w:hAnsi="Arial" w:cs="Arial"/>
          <w:sz w:val="22"/>
          <w:lang w:eastAsia="pl-PL"/>
        </w:rPr>
        <w:t>Składk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Pr="002F566C">
        <w:rPr>
          <w:rFonts w:ascii="Arial" w:hAnsi="Arial" w:cs="Arial"/>
          <w:sz w:val="22"/>
          <w:lang w:eastAsia="pl-PL"/>
        </w:rPr>
        <w:t xml:space="preserve"> od daty </w:t>
      </w:r>
      <w:r w:rsidR="00D335C5" w:rsidRPr="002F566C">
        <w:rPr>
          <w:rFonts w:ascii="Arial" w:hAnsi="Arial" w:cs="Arial"/>
          <w:sz w:val="22"/>
          <w:lang w:eastAsia="pl-PL"/>
        </w:rPr>
        <w:t xml:space="preserve">wystawienia </w:t>
      </w:r>
      <w:r w:rsidR="00FB22EE" w:rsidRPr="002F566C">
        <w:rPr>
          <w:rFonts w:ascii="Arial" w:hAnsi="Arial" w:cs="Arial"/>
          <w:sz w:val="22"/>
          <w:lang w:eastAsia="pl-PL"/>
        </w:rPr>
        <w:t>prawidłow</w:t>
      </w:r>
      <w:r w:rsidR="00D335C5" w:rsidRPr="002F566C">
        <w:rPr>
          <w:rFonts w:ascii="Arial" w:hAnsi="Arial" w:cs="Arial"/>
          <w:sz w:val="22"/>
          <w:lang w:eastAsia="pl-PL"/>
        </w:rPr>
        <w:t>ej</w:t>
      </w:r>
      <w:r w:rsidR="00FB22EE" w:rsidRPr="002F566C">
        <w:rPr>
          <w:rFonts w:ascii="Arial" w:hAnsi="Arial" w:cs="Arial"/>
          <w:sz w:val="22"/>
          <w:lang w:eastAsia="pl-PL"/>
        </w:rPr>
        <w:t xml:space="preserve"> polisy </w:t>
      </w:r>
      <w:r w:rsidRPr="002F566C">
        <w:rPr>
          <w:rFonts w:ascii="Arial" w:hAnsi="Arial" w:cs="Arial"/>
          <w:sz w:val="22"/>
          <w:lang w:eastAsia="pl-PL"/>
        </w:rPr>
        <w:t xml:space="preserve">przez </w:t>
      </w:r>
      <w:r w:rsidR="000A7004" w:rsidRPr="002F566C">
        <w:rPr>
          <w:rFonts w:ascii="Arial" w:hAnsi="Arial" w:cs="Arial"/>
          <w:sz w:val="22"/>
          <w:lang w:eastAsia="pl-PL"/>
        </w:rPr>
        <w:t>Wykonawcę</w:t>
      </w:r>
      <w:r w:rsidR="00937BC9">
        <w:rPr>
          <w:rFonts w:ascii="Arial" w:hAnsi="Arial" w:cs="Arial"/>
          <w:sz w:val="22"/>
          <w:lang w:eastAsia="pl-PL"/>
        </w:rPr>
        <w:t xml:space="preserve"> lub innego dokumentu</w:t>
      </w:r>
      <w:r w:rsidR="00A522CA" w:rsidRPr="002F566C">
        <w:rPr>
          <w:rFonts w:ascii="Arial" w:hAnsi="Arial" w:cs="Arial"/>
          <w:sz w:val="22"/>
          <w:lang w:eastAsia="pl-PL"/>
        </w:rPr>
        <w:t>, zgodnie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8C52236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 xml:space="preserve">wskazany w zgłoszeniu identyfikacyjnym do </w:t>
      </w:r>
      <w:r w:rsidRPr="00B86547">
        <w:rPr>
          <w:rFonts w:ascii="Arial" w:hAnsi="Arial" w:cs="Arial"/>
          <w:sz w:val="22"/>
          <w:lang w:eastAsia="pl-PL"/>
        </w:rPr>
        <w:lastRenderedPageBreak/>
        <w:t>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poz. 1</w:t>
      </w:r>
      <w:r w:rsidR="009458BB" w:rsidRPr="0079475B">
        <w:rPr>
          <w:rFonts w:ascii="Arial" w:hAnsi="Arial" w:cs="Arial"/>
          <w:sz w:val="22"/>
          <w:lang w:eastAsia="pl-PL"/>
        </w:rPr>
        <w:t>66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4C13D255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 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784950D1" w14:textId="351664B4" w:rsidR="00C973F6" w:rsidRPr="00C973F6" w:rsidRDefault="00C973F6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color w:val="000000"/>
          <w:sz w:val="22"/>
        </w:rPr>
        <w:t xml:space="preserve">W czasie trwania niniejszej </w:t>
      </w:r>
      <w:r w:rsidR="004D38F7">
        <w:rPr>
          <w:rFonts w:ascii="Arial" w:hAnsi="Arial" w:cs="Arial"/>
          <w:color w:val="000000"/>
          <w:sz w:val="22"/>
        </w:rPr>
        <w:t>u</w:t>
      </w:r>
      <w:r w:rsidRPr="00C973F6">
        <w:rPr>
          <w:rFonts w:ascii="Arial" w:hAnsi="Arial" w:cs="Arial"/>
          <w:color w:val="000000"/>
          <w:sz w:val="22"/>
        </w:rPr>
        <w:t xml:space="preserve">mowy </w:t>
      </w:r>
      <w:r w:rsidR="004D38F7">
        <w:rPr>
          <w:rFonts w:ascii="Arial" w:hAnsi="Arial" w:cs="Arial"/>
          <w:color w:val="000000"/>
          <w:sz w:val="22"/>
        </w:rPr>
        <w:t>Wykonawca</w:t>
      </w:r>
      <w:r w:rsidRPr="00C973F6">
        <w:rPr>
          <w:rFonts w:ascii="Arial" w:hAnsi="Arial" w:cs="Arial"/>
          <w:color w:val="000000"/>
          <w:sz w:val="22"/>
        </w:rPr>
        <w:t xml:space="preserve"> nie może podnosić wysokości </w:t>
      </w:r>
      <w:r w:rsidR="006F618B">
        <w:rPr>
          <w:rFonts w:ascii="Arial" w:hAnsi="Arial" w:cs="Arial"/>
          <w:color w:val="000000"/>
          <w:sz w:val="22"/>
        </w:rPr>
        <w:t xml:space="preserve">kosztów ubezpieczenia, w tym wysokości </w:t>
      </w:r>
      <w:r w:rsidRPr="00C973F6">
        <w:rPr>
          <w:rFonts w:ascii="Arial" w:hAnsi="Arial" w:cs="Arial"/>
          <w:color w:val="000000"/>
          <w:sz w:val="22"/>
        </w:rPr>
        <w:t>składek</w:t>
      </w:r>
      <w:r w:rsidR="006F618B">
        <w:rPr>
          <w:rFonts w:ascii="Arial" w:hAnsi="Arial" w:cs="Arial"/>
          <w:color w:val="000000"/>
          <w:sz w:val="22"/>
        </w:rPr>
        <w:t xml:space="preserve">, 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oraz zmieniać </w:t>
      </w:r>
      <w:r w:rsidR="005E0E0A"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 xml:space="preserve">- ubezpieczenie wskazanych </w:t>
      </w:r>
      <w:proofErr w:type="spellStart"/>
      <w:r w:rsidRPr="00271839">
        <w:rPr>
          <w:rFonts w:ascii="Arial" w:hAnsi="Arial" w:cs="Arial"/>
          <w:sz w:val="22"/>
          <w:lang w:eastAsia="pl-PL"/>
        </w:rPr>
        <w:t>ryzyk</w:t>
      </w:r>
      <w:proofErr w:type="spellEnd"/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268177E5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 xml:space="preserve">e w ustawie z dnia 11 września 2015 r. o działalności ubezpieczeniowej i reasekuracyjnej (t. j. Dz.U. z 2021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1130 </w:t>
      </w:r>
      <w:r w:rsidR="00C31B5C" w:rsidRPr="0042615B">
        <w:rPr>
          <w:rFonts w:ascii="Arial" w:hAnsi="Arial" w:cs="Arial"/>
          <w:sz w:val="22"/>
          <w:lang w:eastAsia="pl-PL"/>
        </w:rPr>
        <w:t>ze zm.</w:t>
      </w:r>
      <w:r w:rsidR="009E4DFF" w:rsidRPr="0042615B">
        <w:rPr>
          <w:rFonts w:ascii="Arial" w:hAnsi="Arial" w:cs="Arial"/>
          <w:sz w:val="22"/>
          <w:lang w:eastAsia="pl-PL"/>
        </w:rPr>
        <w:t>)</w:t>
      </w:r>
      <w:r w:rsidR="00C31B5C" w:rsidRPr="0042615B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5EC9446D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937BC9">
        <w:rPr>
          <w:rFonts w:ascii="Arial" w:hAnsi="Arial" w:cs="Arial"/>
          <w:sz w:val="22"/>
        </w:rPr>
        <w:t xml:space="preserve">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574A2E1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</w:t>
      </w:r>
      <w:r w:rsidRPr="00DE7B34">
        <w:rPr>
          <w:rFonts w:ascii="Arial" w:hAnsi="Arial" w:cs="Arial"/>
          <w:sz w:val="22"/>
        </w:rPr>
        <w:lastRenderedPageBreak/>
        <w:t xml:space="preserve">osób na podstawie umowy o pracę oraz za co najmniej minimalnym wynagrodzeniem oraz przeprowadzania kontroli w celu zweryfikowania, czy osoby skierowane do realizacji usług są zatrudnione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 xml:space="preserve">Wykonawca, na podstawie art. 438 ust. 2 ustawy </w:t>
      </w:r>
      <w:proofErr w:type="spellStart"/>
      <w:r w:rsidRPr="00DE7B34">
        <w:rPr>
          <w:rFonts w:ascii="Arial" w:hAnsi="Arial" w:cs="Arial"/>
          <w:sz w:val="22"/>
        </w:rPr>
        <w:t>Pzp</w:t>
      </w:r>
      <w:proofErr w:type="spellEnd"/>
      <w:r w:rsidRPr="00DE7B34">
        <w:rPr>
          <w:rFonts w:ascii="Arial" w:hAnsi="Arial" w:cs="Arial"/>
          <w:sz w:val="22"/>
        </w:rPr>
        <w:t xml:space="preserve">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C2FA9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0669B789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>W sprawach związanych z wykonaniem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4A2B7AB8" w:rsidR="00EC5537" w:rsidRPr="004A6133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color w:val="0070C0"/>
          <w:sz w:val="22"/>
          <w:lang w:eastAsia="pl-PL"/>
        </w:rPr>
        <w:t>Pana</w:t>
      </w:r>
      <w:r>
        <w:rPr>
          <w:rFonts w:ascii="Arial" w:hAnsi="Arial" w:cs="Arial"/>
          <w:sz w:val="22"/>
          <w:lang w:eastAsia="pl-PL"/>
        </w:rPr>
        <w:t xml:space="preserve"> , numer tel., adres email: .</w:t>
      </w:r>
    </w:p>
    <w:p w14:paraId="536C47B1" w14:textId="39D79189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>tel., adres email:</w:t>
      </w:r>
      <w:r w:rsidR="00343893">
        <w:rPr>
          <w:rFonts w:ascii="Arial" w:hAnsi="Arial" w:cs="Arial"/>
          <w:sz w:val="22"/>
          <w:lang w:eastAsia="pl-PL"/>
        </w:rPr>
        <w:t>.</w:t>
      </w:r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 jeśli dotyczy).</w:t>
      </w:r>
      <w:bookmarkEnd w:id="2"/>
    </w:p>
    <w:p w14:paraId="3FFC42FE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(uzupełnić jeśli dotyczy). </w:t>
      </w:r>
    </w:p>
    <w:p w14:paraId="4BA2E71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 przypadku nieuprawnionego powierzenia wykonywania usługi osobom trzecim Wykonawca jest odpowiedzialny za działania lub zaniechania Podwykonawców, </w:t>
      </w:r>
      <w:r>
        <w:rPr>
          <w:rFonts w:ascii="Arial" w:eastAsia="Calibri" w:hAnsi="Arial" w:cs="Arial"/>
          <w:sz w:val="22"/>
          <w:lang w:eastAsia="pl-PL"/>
        </w:rPr>
        <w:lastRenderedPageBreak/>
        <w:t>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7CC7FAF1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>Zmiany umowy będą dokonywane poprzez kolejno numerowane aneksy sporządzone przez strony umowy w formie pisemnej pod rygorem nieważności</w:t>
      </w:r>
      <w:r w:rsidR="007A4A11">
        <w:rPr>
          <w:rFonts w:ascii="Arial" w:hAnsi="Arial" w:cs="Arial"/>
          <w:sz w:val="22"/>
          <w:lang w:eastAsia="pl-PL"/>
        </w:rPr>
        <w:t xml:space="preserve"> </w:t>
      </w:r>
      <w:r w:rsidR="007A4A11" w:rsidRPr="00EC5537">
        <w:rPr>
          <w:rFonts w:ascii="Arial" w:hAnsi="Arial" w:cs="Arial"/>
          <w:sz w:val="22"/>
          <w:lang w:eastAsia="pl-PL"/>
        </w:rPr>
        <w:t>na zasadach określonych w niniejszej umowie</w:t>
      </w:r>
      <w:r w:rsidRPr="00EC5537">
        <w:rPr>
          <w:rFonts w:ascii="Arial" w:hAnsi="Arial" w:cs="Arial"/>
          <w:sz w:val="22"/>
          <w:lang w:eastAsia="pl-PL"/>
        </w:rPr>
        <w:t xml:space="preserve">. </w:t>
      </w:r>
    </w:p>
    <w:p w14:paraId="2CAA2183" w14:textId="77777777" w:rsid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48F45831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243A99DA" w:rsidR="00997AC6" w:rsidRPr="003E2D3B" w:rsidRDefault="000E0809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b/>
          <w:bCs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lastRenderedPageBreak/>
        <w:t>zmian postanowień umowy w zakresie 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Pr="00997AC6">
        <w:rPr>
          <w:rFonts w:ascii="Arial" w:hAnsi="Arial" w:cs="Arial"/>
          <w:sz w:val="22"/>
          <w:lang w:eastAsia="pl-PL"/>
        </w:rPr>
        <w:t xml:space="preserve"> z jego użytkowania oraz gospodarowania tym mieniem</w:t>
      </w:r>
      <w:r w:rsidR="009A785C">
        <w:rPr>
          <w:rFonts w:ascii="Arial" w:hAnsi="Arial" w:cs="Arial"/>
          <w:sz w:val="22"/>
          <w:lang w:eastAsia="pl-PL"/>
        </w:rPr>
        <w:t>;</w:t>
      </w:r>
      <w:r w:rsidRPr="00997AC6">
        <w:rPr>
          <w:rFonts w:ascii="Arial" w:hAnsi="Arial" w:cs="Arial"/>
          <w:sz w:val="22"/>
          <w:lang w:eastAsia="pl-PL"/>
        </w:rPr>
        <w:t xml:space="preserve"> </w:t>
      </w:r>
      <w:r w:rsidR="009A785C">
        <w:rPr>
          <w:rFonts w:ascii="Arial" w:hAnsi="Arial" w:cs="Arial"/>
          <w:sz w:val="22"/>
          <w:lang w:eastAsia="pl-PL"/>
        </w:rPr>
        <w:t>w</w:t>
      </w:r>
      <w:r w:rsidRPr="00997AC6">
        <w:rPr>
          <w:rFonts w:ascii="Arial" w:hAnsi="Arial" w:cs="Arial"/>
          <w:sz w:val="22"/>
          <w:lang w:eastAsia="pl-PL"/>
        </w:rPr>
        <w:t xml:space="preserve"> przypadku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Pr="00C31719">
        <w:rPr>
          <w:rFonts w:ascii="Arial" w:hAnsi="Arial" w:cs="Arial"/>
          <w:b/>
          <w:bCs/>
          <w:sz w:val="22"/>
          <w:lang w:eastAsia="pl-PL"/>
        </w:rPr>
        <w:t>;</w:t>
      </w:r>
    </w:p>
    <w:p w14:paraId="285D3122" w14:textId="33D4036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polegająca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2217A40" w:rsidR="00234EE8" w:rsidRPr="00CF3E70" w:rsidRDefault="009C015E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234EE8" w:rsidRPr="00CF3E70">
        <w:rPr>
          <w:rFonts w:ascii="Arial" w:hAnsi="Arial" w:cs="Arial"/>
          <w:sz w:val="22"/>
          <w:lang w:eastAsia="pl-PL"/>
        </w:rPr>
        <w:t>opuszczalna jest zmiana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58EEAB10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mowy, lub</w:t>
      </w:r>
    </w:p>
    <w:p w14:paraId="2314452B" w14:textId="75242282" w:rsidR="00234EE8" w:rsidRPr="009356E4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BB5AA5">
        <w:rPr>
          <w:rFonts w:ascii="Arial" w:hAnsi="Arial" w:cs="Arial"/>
          <w:b/>
          <w:bCs/>
          <w:sz w:val="22"/>
          <w:lang w:eastAsia="pl-PL"/>
        </w:rPr>
        <w:t>30</w:t>
      </w:r>
      <w:r w:rsidRPr="00BB5AA5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BB5AA5">
        <w:rPr>
          <w:rFonts w:ascii="Arial" w:hAnsi="Arial" w:cs="Arial"/>
          <w:b/>
          <w:bCs/>
          <w:sz w:val="22"/>
          <w:lang w:eastAsia="pl-PL"/>
        </w:rPr>
        <w:t>,</w:t>
      </w:r>
    </w:p>
    <w:p w14:paraId="30FF2E79" w14:textId="71A3362B" w:rsidR="0090737F" w:rsidRPr="00CF3E70" w:rsidRDefault="009C015E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90737F" w:rsidRPr="00CF3E70">
        <w:rPr>
          <w:rFonts w:ascii="Arial" w:hAnsi="Arial" w:cs="Arial"/>
          <w:sz w:val="22"/>
          <w:lang w:eastAsia="pl-PL"/>
        </w:rPr>
        <w:t xml:space="preserve">opuszczalna jest zmiana polegająca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 xml:space="preserve">mowy do zmian Ogólnych Warunków Umowy wprowadzonych przez Wykonawcę po terminie składania ofert w postępowaniu o udzielenie zamówienia publicznego z zastrzeżeniem, że nie powodują one zmiany wynagrodzenia Wykonawcy,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OWU lub ich części;</w:t>
      </w:r>
    </w:p>
    <w:p w14:paraId="14F095E8" w14:textId="55BE725C" w:rsidR="00AB5043" w:rsidRPr="00CF3E70" w:rsidRDefault="000E0809" w:rsidP="008A7F18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konieczne jest dokonanie zmian w częściach przedmiotu zamówienia, które zgo</w:t>
      </w:r>
      <w:r w:rsidR="006C19F1" w:rsidRPr="00CF3E70">
        <w:rPr>
          <w:rFonts w:ascii="Arial" w:hAnsi="Arial" w:cs="Arial"/>
          <w:sz w:val="22"/>
          <w:lang w:eastAsia="pl-PL"/>
        </w:rPr>
        <w:t>d</w:t>
      </w:r>
      <w:r w:rsidRPr="00CF3E70">
        <w:rPr>
          <w:rFonts w:ascii="Arial" w:hAnsi="Arial" w:cs="Arial"/>
          <w:sz w:val="22"/>
          <w:lang w:eastAsia="pl-PL"/>
        </w:rPr>
        <w:t>nie z</w:t>
      </w:r>
      <w:r w:rsidR="0035603C" w:rsidRPr="00CF3E70">
        <w:rPr>
          <w:rFonts w:ascii="Arial" w:hAnsi="Arial" w:cs="Arial"/>
          <w:sz w:val="22"/>
          <w:lang w:eastAsia="pl-PL"/>
        </w:rPr>
        <w:t> </w:t>
      </w:r>
      <w:r w:rsidRPr="00CF3E70">
        <w:rPr>
          <w:rFonts w:ascii="Arial" w:hAnsi="Arial" w:cs="Arial"/>
          <w:sz w:val="22"/>
          <w:lang w:eastAsia="pl-PL"/>
        </w:rPr>
        <w:t xml:space="preserve">ofertą Wykonawcy będą wykonywane przy pomocy </w:t>
      </w:r>
      <w:r w:rsidR="00997AC6" w:rsidRPr="00CF3E70">
        <w:rPr>
          <w:rFonts w:ascii="Arial" w:hAnsi="Arial" w:cs="Arial"/>
          <w:sz w:val="22"/>
          <w:lang w:eastAsia="pl-PL"/>
        </w:rPr>
        <w:t>P</w:t>
      </w:r>
      <w:r w:rsidRPr="00CF3E70">
        <w:rPr>
          <w:rFonts w:ascii="Arial" w:hAnsi="Arial" w:cs="Arial"/>
          <w:sz w:val="22"/>
          <w:lang w:eastAsia="pl-PL"/>
        </w:rPr>
        <w:t>odwykonawców.</w:t>
      </w:r>
    </w:p>
    <w:p w14:paraId="7F46E91B" w14:textId="5D423BFE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Wskazanie okoliczności 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="009A785C" w:rsidRPr="00440D16">
        <w:rPr>
          <w:rFonts w:ascii="Arial" w:hAnsi="Arial" w:cs="Arial"/>
          <w:sz w:val="22"/>
          <w:lang w:eastAsia="pl-PL"/>
        </w:rPr>
        <w:t>w ust. 3</w:t>
      </w:r>
      <w:r w:rsidRPr="00440D16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57481EC7" w14:textId="77777777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6,</w:t>
      </w:r>
    </w:p>
    <w:p w14:paraId="18654EF8" w14:textId="2B01FE6E" w:rsidR="00260D03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reprezentujących Strony umowy.</w:t>
      </w:r>
    </w:p>
    <w:p w14:paraId="5D9922B7" w14:textId="6A562B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1751167F" w14:textId="00730273" w:rsidR="000E0809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i uzupełnienia umowy wymagają formy pisemnej pod rygorem nieważności za zgodą obu </w:t>
      </w:r>
      <w:r w:rsidR="00260D03" w:rsidRPr="00131286">
        <w:rPr>
          <w:rFonts w:ascii="Arial" w:hAnsi="Arial" w:cs="Arial"/>
          <w:sz w:val="22"/>
          <w:lang w:eastAsia="pl-PL"/>
        </w:rPr>
        <w:t>S</w:t>
      </w:r>
      <w:r w:rsidRPr="00131286">
        <w:rPr>
          <w:rFonts w:ascii="Arial" w:hAnsi="Arial" w:cs="Arial"/>
          <w:sz w:val="22"/>
          <w:lang w:eastAsia="pl-PL"/>
        </w:rPr>
        <w:t>tron</w:t>
      </w:r>
      <w:r w:rsidR="00260D03" w:rsidRPr="00131286">
        <w:rPr>
          <w:rFonts w:ascii="Arial" w:hAnsi="Arial" w:cs="Arial"/>
          <w:sz w:val="22"/>
          <w:lang w:eastAsia="pl-PL"/>
        </w:rPr>
        <w:t xml:space="preserve"> umowy</w:t>
      </w:r>
      <w:r w:rsidR="00EA3FFB" w:rsidRPr="00131286">
        <w:rPr>
          <w:rFonts w:ascii="Arial" w:hAnsi="Arial" w:cs="Arial"/>
          <w:sz w:val="22"/>
          <w:lang w:eastAsia="pl-PL"/>
        </w:rPr>
        <w:t xml:space="preserve"> z wyłączeniem wyjątków przewidzianych w umowie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muszą być dokonywane z zachowaniem przepisów ustawy </w:t>
      </w:r>
      <w:proofErr w:type="spellStart"/>
      <w:r w:rsidRPr="00131286">
        <w:rPr>
          <w:rFonts w:ascii="Arial" w:hAnsi="Arial" w:cs="Arial"/>
          <w:sz w:val="22"/>
          <w:lang w:eastAsia="pl-PL"/>
        </w:rPr>
        <w:t>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proofErr w:type="spellEnd"/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442C2A50" w14:textId="11C7C0CD" w:rsidR="00252677" w:rsidRPr="008B175D" w:rsidRDefault="00252677" w:rsidP="00252677">
      <w:pPr>
        <w:pStyle w:val="Nagwek3"/>
        <w:ind w:left="720"/>
      </w:pPr>
      <w:r w:rsidRPr="008B175D">
        <w:lastRenderedPageBreak/>
        <w:t xml:space="preserve">§ </w:t>
      </w:r>
      <w:r w:rsidR="003A49B2">
        <w:t>9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52BEC3CA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 xml:space="preserve">Umowa może być rozwiązana bez zachowania okresu wypowiedzenia przez Zamawiającego, </w:t>
      </w:r>
      <w:r w:rsidRPr="00131286">
        <w:rPr>
          <w:rFonts w:ascii="Arial" w:hAnsi="Arial" w:cs="Arial"/>
          <w:sz w:val="22"/>
          <w:lang w:eastAsia="pl-PL"/>
        </w:rPr>
        <w:t xml:space="preserve">z </w:t>
      </w:r>
      <w:r w:rsidR="008B175D" w:rsidRPr="00131286">
        <w:rPr>
          <w:rFonts w:ascii="Arial" w:hAnsi="Arial" w:cs="Arial"/>
          <w:sz w:val="22"/>
          <w:lang w:eastAsia="pl-PL"/>
        </w:rPr>
        <w:t>powodu okoliczności za które odpowiada</w:t>
      </w:r>
      <w:r w:rsidRPr="00131286">
        <w:rPr>
          <w:rFonts w:ascii="Arial" w:hAnsi="Arial" w:cs="Arial"/>
          <w:sz w:val="22"/>
          <w:lang w:eastAsia="pl-PL"/>
        </w:rPr>
        <w:t xml:space="preserve"> Wykonawc</w:t>
      </w:r>
      <w:r w:rsidR="008B175D" w:rsidRPr="00131286">
        <w:rPr>
          <w:rFonts w:ascii="Arial" w:hAnsi="Arial" w:cs="Arial"/>
          <w:sz w:val="22"/>
          <w:lang w:eastAsia="pl-PL"/>
        </w:rPr>
        <w:t>a</w:t>
      </w:r>
      <w:r w:rsidRPr="00131286">
        <w:rPr>
          <w:rFonts w:ascii="Arial" w:hAnsi="Arial" w:cs="Arial"/>
          <w:sz w:val="22"/>
          <w:lang w:eastAsia="pl-PL"/>
        </w:rPr>
        <w:t xml:space="preserve"> w przypadku, gdy Wykonawca narusza postanowienia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>warunkami 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y.</w:t>
      </w:r>
    </w:p>
    <w:p w14:paraId="396A8BB6" w14:textId="77777777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Zamawiającemu przysługuje 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073522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38418B1A" w:rsidR="00131286" w:rsidRDefault="000E0809" w:rsidP="00E54675">
      <w:pPr>
        <w:pStyle w:val="Nagwek3"/>
      </w:pPr>
      <w:r w:rsidRPr="009B09E0">
        <w:t xml:space="preserve">§ </w:t>
      </w:r>
      <w:r w:rsidR="003A49B2">
        <w:t>10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1C9288C4" w:rsidR="00D00B79" w:rsidRPr="00315E3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Pr="00E90B75">
        <w:rPr>
          <w:rFonts w:ascii="Arial" w:hAnsi="Arial" w:cs="Arial"/>
          <w:b/>
          <w:bCs/>
          <w:sz w:val="22"/>
          <w:lang w:eastAsia="pl-PL"/>
        </w:rPr>
        <w:t>5%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356B4A" w:rsidRPr="00315E3C">
        <w:rPr>
          <w:rFonts w:ascii="Arial" w:hAnsi="Arial" w:cs="Arial"/>
          <w:sz w:val="22"/>
          <w:lang w:eastAsia="pl-PL"/>
        </w:rPr>
        <w:t>w</w:t>
      </w:r>
      <w:r w:rsidR="0074337C" w:rsidRPr="00315E3C">
        <w:rPr>
          <w:rFonts w:ascii="Arial" w:hAnsi="Arial" w:cs="Arial"/>
          <w:sz w:val="22"/>
          <w:lang w:eastAsia="pl-PL"/>
        </w:rPr>
        <w:t xml:space="preserve"> przypadku wykonania umowy niezgodnie </w:t>
      </w:r>
      <w:r w:rsidRPr="00315E3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 xml:space="preserve">nia składek, </w:t>
      </w:r>
    </w:p>
    <w:p w14:paraId="63649169" w14:textId="725DC592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>za każdy 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3D0ED4B5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o ich zapłatę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2C2D06AE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Maksymalna wysokość kar</w:t>
      </w:r>
      <w:r w:rsidR="00937BC9">
        <w:rPr>
          <w:rFonts w:ascii="Arial" w:hAnsi="Arial" w:cs="Arial"/>
          <w:sz w:val="22"/>
          <w:lang w:eastAsia="pl-PL"/>
        </w:rPr>
        <w:t xml:space="preserve"> umownych</w:t>
      </w:r>
      <w:r w:rsidRPr="00CA30E2">
        <w:rPr>
          <w:rFonts w:ascii="Arial" w:hAnsi="Arial" w:cs="Arial"/>
          <w:sz w:val="22"/>
          <w:lang w:eastAsia="pl-PL"/>
        </w:rPr>
        <w:t xml:space="preserve"> 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wynosi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5D10A426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3A49B2">
        <w:t>1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1E7BCE80" w:rsidR="002864F3" w:rsidRPr="004D5A14" w:rsidRDefault="00063123" w:rsidP="004D5A14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</w:t>
      </w:r>
      <w:r w:rsidRPr="009A409D">
        <w:rPr>
          <w:rFonts w:ascii="Arial" w:hAnsi="Arial" w:cs="Arial"/>
          <w:sz w:val="22"/>
          <w:lang w:eastAsia="pl-PL"/>
        </w:rPr>
        <w:lastRenderedPageBreak/>
        <w:t xml:space="preserve">sporach, które nie będą mogły być rozstrzygnięte przez Strony w drodze negocjacji, każda ze Stron może wnieść pozew do polskiego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31A371DA" w:rsidR="00063123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oświadcza, że materiały dostarczone przez Zamawiającego </w:t>
      </w:r>
      <w:r>
        <w:rPr>
          <w:rFonts w:ascii="Arial" w:hAnsi="Arial" w:cs="Arial"/>
          <w:sz w:val="22"/>
          <w:lang w:eastAsia="pl-PL"/>
        </w:rPr>
        <w:t xml:space="preserve">oraz wszelkie informacje, dane </w:t>
      </w:r>
      <w:r w:rsidRPr="00C10B36">
        <w:rPr>
          <w:rFonts w:ascii="Arial" w:hAnsi="Arial" w:cs="Arial"/>
          <w:sz w:val="22"/>
          <w:lang w:eastAsia="pl-PL"/>
        </w:rPr>
        <w:t>dotyczące działalności Zamawiającego i nabyte przez Wykonawcę w 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</w:t>
      </w:r>
      <w:r>
        <w:rPr>
          <w:rFonts w:ascii="Arial" w:hAnsi="Arial" w:cs="Arial"/>
          <w:sz w:val="22"/>
          <w:lang w:eastAsia="pl-PL"/>
        </w:rPr>
        <w:t>z podmiotów z nim powiązanych</w:t>
      </w:r>
      <w:r w:rsidRPr="00C10B36">
        <w:rPr>
          <w:rFonts w:ascii="Arial" w:hAnsi="Arial" w:cs="Arial"/>
          <w:sz w:val="22"/>
          <w:lang w:eastAsia="pl-PL"/>
        </w:rPr>
        <w:t>. Ujawnienie powyższych informacji przez Wykonawcę osobom trzecim jest możliwe tylko i wyłącznie po wyrażeniu pisemnej</w:t>
      </w:r>
      <w:r>
        <w:rPr>
          <w:rFonts w:ascii="Arial" w:hAnsi="Arial" w:cs="Arial"/>
          <w:sz w:val="22"/>
          <w:lang w:eastAsia="pl-PL"/>
        </w:rPr>
        <w:t xml:space="preserve"> zgody przez Zamawiającego. W</w:t>
      </w:r>
      <w:r w:rsidRPr="00C10B36">
        <w:rPr>
          <w:rFonts w:ascii="Arial" w:hAnsi="Arial" w:cs="Arial"/>
          <w:sz w:val="22"/>
          <w:lang w:eastAsia="pl-PL"/>
        </w:rPr>
        <w:t>ykonawca ponosi pełną odpowiedzialność za zachowanie poufności informacji (zdefiniowanych w tym paragrafie) przez swoich pracowników</w:t>
      </w:r>
      <w:r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325EF4C8" w:rsidR="00C10B36" w:rsidRPr="009A409D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 xml:space="preserve">z </w:t>
      </w:r>
      <w:proofErr w:type="spellStart"/>
      <w:r w:rsidRPr="00C10B36">
        <w:rPr>
          <w:rFonts w:ascii="Arial" w:hAnsi="Arial" w:cs="Arial"/>
          <w:sz w:val="22"/>
          <w:lang w:eastAsia="pl-PL"/>
        </w:rPr>
        <w:t>późn</w:t>
      </w:r>
      <w:proofErr w:type="spellEnd"/>
      <w:r w:rsidRPr="00C10B36">
        <w:rPr>
          <w:rFonts w:ascii="Arial" w:hAnsi="Arial" w:cs="Arial"/>
          <w:sz w:val="22"/>
          <w:lang w:eastAsia="pl-PL"/>
        </w:rPr>
        <w:t>. zm.) oraz kosztów obsługi umowy ubezpieczenia. Zamawiający w żadnym wypadku nie będzie obciążony kosztami wskazanymi</w:t>
      </w:r>
      <w:r>
        <w:rPr>
          <w:rFonts w:ascii="Arial" w:hAnsi="Arial" w:cs="Arial"/>
          <w:sz w:val="22"/>
          <w:lang w:eastAsia="pl-PL"/>
        </w:rPr>
        <w:t xml:space="preserve"> powyżej.</w:t>
      </w:r>
    </w:p>
    <w:p w14:paraId="6F0248EF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CF87" w14:textId="77777777" w:rsidR="003477A3" w:rsidRDefault="003477A3" w:rsidP="00EF7953">
      <w:pPr>
        <w:spacing w:after="0" w:line="240" w:lineRule="auto"/>
      </w:pPr>
      <w:r>
        <w:separator/>
      </w:r>
    </w:p>
  </w:endnote>
  <w:endnote w:type="continuationSeparator" w:id="0">
    <w:p w14:paraId="1DBC8D49" w14:textId="77777777" w:rsidR="003477A3" w:rsidRDefault="003477A3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DAA6" w14:textId="77777777" w:rsidR="003477A3" w:rsidRDefault="003477A3" w:rsidP="00EF7953">
      <w:pPr>
        <w:spacing w:after="0" w:line="240" w:lineRule="auto"/>
      </w:pPr>
      <w:r>
        <w:separator/>
      </w:r>
    </w:p>
  </w:footnote>
  <w:footnote w:type="continuationSeparator" w:id="0">
    <w:p w14:paraId="34820165" w14:textId="77777777" w:rsidR="003477A3" w:rsidRDefault="003477A3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12F83EC2" w:rsidR="0001078F" w:rsidRPr="00451B5E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r w:rsidR="00451B5E" w:rsidRPr="00451B5E">
      <w:rPr>
        <w:rFonts w:ascii="Arial" w:hAnsi="Arial" w:cs="Arial"/>
        <w:sz w:val="22"/>
      </w:rPr>
      <w:t>GIRM.26.</w:t>
    </w:r>
    <w:r w:rsidR="00162C44">
      <w:rPr>
        <w:rFonts w:ascii="Arial" w:hAnsi="Arial" w:cs="Arial"/>
        <w:sz w:val="22"/>
      </w:rPr>
      <w:t>5</w:t>
    </w:r>
    <w:r w:rsidR="00451B5E" w:rsidRPr="00451B5E">
      <w:rPr>
        <w:rFonts w:ascii="Arial" w:hAnsi="Arial" w:cs="Arial"/>
        <w:sz w:val="22"/>
      </w:rPr>
      <w:t>.2022.Z</w:t>
    </w:r>
    <w:bookmarkEnd w:id="4"/>
    <w:bookmarkEnd w:id="5"/>
    <w:r w:rsidR="00451B5E" w:rsidRPr="00451B5E">
      <w:rPr>
        <w:rFonts w:ascii="Arial" w:hAnsi="Arial" w:cs="Arial"/>
        <w:sz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7278F6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2F1B"/>
    <w:multiLevelType w:val="hybridMultilevel"/>
    <w:tmpl w:val="4A54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112"/>
    <w:multiLevelType w:val="hybridMultilevel"/>
    <w:tmpl w:val="4A54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7"/>
  </w:num>
  <w:num w:numId="2" w16cid:durableId="420874173">
    <w:abstractNumId w:val="12"/>
  </w:num>
  <w:num w:numId="3" w16cid:durableId="1516571539">
    <w:abstractNumId w:val="27"/>
  </w:num>
  <w:num w:numId="4" w16cid:durableId="1890066016">
    <w:abstractNumId w:val="26"/>
  </w:num>
  <w:num w:numId="5" w16cid:durableId="709844547">
    <w:abstractNumId w:val="7"/>
  </w:num>
  <w:num w:numId="6" w16cid:durableId="435709622">
    <w:abstractNumId w:val="21"/>
  </w:num>
  <w:num w:numId="7" w16cid:durableId="1648900921">
    <w:abstractNumId w:val="0"/>
  </w:num>
  <w:num w:numId="8" w16cid:durableId="1460800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1"/>
  </w:num>
  <w:num w:numId="12" w16cid:durableId="2015454586">
    <w:abstractNumId w:val="28"/>
  </w:num>
  <w:num w:numId="13" w16cid:durableId="1597133189">
    <w:abstractNumId w:val="14"/>
  </w:num>
  <w:num w:numId="14" w16cid:durableId="2007319961">
    <w:abstractNumId w:val="41"/>
  </w:num>
  <w:num w:numId="15" w16cid:durableId="2142913634">
    <w:abstractNumId w:val="33"/>
  </w:num>
  <w:num w:numId="16" w16cid:durableId="1999184112">
    <w:abstractNumId w:val="39"/>
  </w:num>
  <w:num w:numId="17" w16cid:durableId="564920692">
    <w:abstractNumId w:val="40"/>
  </w:num>
  <w:num w:numId="18" w16cid:durableId="549224411">
    <w:abstractNumId w:val="10"/>
  </w:num>
  <w:num w:numId="19" w16cid:durableId="2076731401">
    <w:abstractNumId w:val="24"/>
  </w:num>
  <w:num w:numId="20" w16cid:durableId="1394236960">
    <w:abstractNumId w:val="30"/>
  </w:num>
  <w:num w:numId="21" w16cid:durableId="978149502">
    <w:abstractNumId w:val="15"/>
  </w:num>
  <w:num w:numId="22" w16cid:durableId="1315644266">
    <w:abstractNumId w:val="32"/>
  </w:num>
  <w:num w:numId="23" w16cid:durableId="936444040">
    <w:abstractNumId w:val="29"/>
  </w:num>
  <w:num w:numId="24" w16cid:durableId="2041736373">
    <w:abstractNumId w:val="38"/>
  </w:num>
  <w:num w:numId="25" w16cid:durableId="960116403">
    <w:abstractNumId w:val="36"/>
  </w:num>
  <w:num w:numId="26" w16cid:durableId="269434532">
    <w:abstractNumId w:val="17"/>
  </w:num>
  <w:num w:numId="27" w16cid:durableId="1478569269">
    <w:abstractNumId w:val="25"/>
  </w:num>
  <w:num w:numId="28" w16cid:durableId="1255551937">
    <w:abstractNumId w:val="13"/>
  </w:num>
  <w:num w:numId="29" w16cid:durableId="2029408976">
    <w:abstractNumId w:val="1"/>
  </w:num>
  <w:num w:numId="30" w16cid:durableId="598418019">
    <w:abstractNumId w:val="20"/>
  </w:num>
  <w:num w:numId="31" w16cid:durableId="1660957511">
    <w:abstractNumId w:val="23"/>
  </w:num>
  <w:num w:numId="32" w16cid:durableId="2105032638">
    <w:abstractNumId w:val="19"/>
  </w:num>
  <w:num w:numId="33" w16cid:durableId="2016027787">
    <w:abstractNumId w:val="22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8"/>
  </w:num>
  <w:num w:numId="38" w16cid:durableId="1877621608">
    <w:abstractNumId w:val="16"/>
  </w:num>
  <w:num w:numId="39" w16cid:durableId="1138307262">
    <w:abstractNumId w:val="31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2"/>
  </w:num>
  <w:num w:numId="44" w16cid:durableId="1438061401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2C44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672B"/>
    <w:rsid w:val="002213B0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C1753"/>
    <w:rsid w:val="002C60EB"/>
    <w:rsid w:val="002C6364"/>
    <w:rsid w:val="002D110B"/>
    <w:rsid w:val="002E0579"/>
    <w:rsid w:val="002E259A"/>
    <w:rsid w:val="002E450C"/>
    <w:rsid w:val="002F0D22"/>
    <w:rsid w:val="002F52C1"/>
    <w:rsid w:val="002F566C"/>
    <w:rsid w:val="00310873"/>
    <w:rsid w:val="00315E3C"/>
    <w:rsid w:val="00316653"/>
    <w:rsid w:val="00321D28"/>
    <w:rsid w:val="00323227"/>
    <w:rsid w:val="00324D75"/>
    <w:rsid w:val="003338C8"/>
    <w:rsid w:val="00333E63"/>
    <w:rsid w:val="003379C8"/>
    <w:rsid w:val="00340C34"/>
    <w:rsid w:val="00343893"/>
    <w:rsid w:val="003459F4"/>
    <w:rsid w:val="0034607D"/>
    <w:rsid w:val="003477A3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A25E3"/>
    <w:rsid w:val="003A49B2"/>
    <w:rsid w:val="003A7370"/>
    <w:rsid w:val="003B2B81"/>
    <w:rsid w:val="003B7768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40D16"/>
    <w:rsid w:val="004444FA"/>
    <w:rsid w:val="00451B5E"/>
    <w:rsid w:val="00462B44"/>
    <w:rsid w:val="00465EF9"/>
    <w:rsid w:val="00466F7E"/>
    <w:rsid w:val="0047030B"/>
    <w:rsid w:val="004768C0"/>
    <w:rsid w:val="00486DEA"/>
    <w:rsid w:val="0049185C"/>
    <w:rsid w:val="0049484D"/>
    <w:rsid w:val="0049740F"/>
    <w:rsid w:val="004A6133"/>
    <w:rsid w:val="004B3840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F1BB3"/>
    <w:rsid w:val="004F27DE"/>
    <w:rsid w:val="004F3BE4"/>
    <w:rsid w:val="00506009"/>
    <w:rsid w:val="00513583"/>
    <w:rsid w:val="005212F4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82BA9"/>
    <w:rsid w:val="005A25E8"/>
    <w:rsid w:val="005A40DB"/>
    <w:rsid w:val="005B1C59"/>
    <w:rsid w:val="005C5857"/>
    <w:rsid w:val="005C62D6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59FE"/>
    <w:rsid w:val="0061680A"/>
    <w:rsid w:val="00623589"/>
    <w:rsid w:val="00634EC7"/>
    <w:rsid w:val="006375BA"/>
    <w:rsid w:val="00641093"/>
    <w:rsid w:val="00641C92"/>
    <w:rsid w:val="00643A65"/>
    <w:rsid w:val="0065734D"/>
    <w:rsid w:val="006575E7"/>
    <w:rsid w:val="00662102"/>
    <w:rsid w:val="00663C97"/>
    <w:rsid w:val="00664606"/>
    <w:rsid w:val="0066507E"/>
    <w:rsid w:val="00667915"/>
    <w:rsid w:val="00672DA4"/>
    <w:rsid w:val="00676396"/>
    <w:rsid w:val="0068266B"/>
    <w:rsid w:val="00683F0B"/>
    <w:rsid w:val="00687B0F"/>
    <w:rsid w:val="00691C5A"/>
    <w:rsid w:val="006940C5"/>
    <w:rsid w:val="0069705E"/>
    <w:rsid w:val="006B0EF0"/>
    <w:rsid w:val="006B7006"/>
    <w:rsid w:val="006C0200"/>
    <w:rsid w:val="006C100E"/>
    <w:rsid w:val="006C19F1"/>
    <w:rsid w:val="006D39C3"/>
    <w:rsid w:val="006D671C"/>
    <w:rsid w:val="006E07D3"/>
    <w:rsid w:val="006E0EA7"/>
    <w:rsid w:val="006E489B"/>
    <w:rsid w:val="006E584C"/>
    <w:rsid w:val="006F618B"/>
    <w:rsid w:val="006F669A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4337C"/>
    <w:rsid w:val="007433C7"/>
    <w:rsid w:val="00747639"/>
    <w:rsid w:val="00752AA3"/>
    <w:rsid w:val="00764D86"/>
    <w:rsid w:val="00770C93"/>
    <w:rsid w:val="00772710"/>
    <w:rsid w:val="00773F86"/>
    <w:rsid w:val="00780C90"/>
    <w:rsid w:val="0078486F"/>
    <w:rsid w:val="00787C80"/>
    <w:rsid w:val="007905E2"/>
    <w:rsid w:val="0079214B"/>
    <w:rsid w:val="0079475B"/>
    <w:rsid w:val="007A2E3B"/>
    <w:rsid w:val="007A4A11"/>
    <w:rsid w:val="007B43E9"/>
    <w:rsid w:val="007C13A3"/>
    <w:rsid w:val="007C4841"/>
    <w:rsid w:val="007E72E1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8C8"/>
    <w:rsid w:val="008A7F18"/>
    <w:rsid w:val="008B175D"/>
    <w:rsid w:val="008B2A20"/>
    <w:rsid w:val="008B45E8"/>
    <w:rsid w:val="008C453E"/>
    <w:rsid w:val="008D5F41"/>
    <w:rsid w:val="008D7280"/>
    <w:rsid w:val="008D7DA1"/>
    <w:rsid w:val="008E18AD"/>
    <w:rsid w:val="008F3125"/>
    <w:rsid w:val="008F7E27"/>
    <w:rsid w:val="009039BF"/>
    <w:rsid w:val="00903B90"/>
    <w:rsid w:val="00904E0A"/>
    <w:rsid w:val="0090737F"/>
    <w:rsid w:val="009074A4"/>
    <w:rsid w:val="00907C21"/>
    <w:rsid w:val="00912425"/>
    <w:rsid w:val="00917A10"/>
    <w:rsid w:val="0092246A"/>
    <w:rsid w:val="009239EA"/>
    <w:rsid w:val="00924172"/>
    <w:rsid w:val="0092542F"/>
    <w:rsid w:val="00930E3D"/>
    <w:rsid w:val="0093217B"/>
    <w:rsid w:val="009356E4"/>
    <w:rsid w:val="00937BC9"/>
    <w:rsid w:val="00941BF3"/>
    <w:rsid w:val="009458BB"/>
    <w:rsid w:val="00945C81"/>
    <w:rsid w:val="0095379B"/>
    <w:rsid w:val="00963365"/>
    <w:rsid w:val="00964FDB"/>
    <w:rsid w:val="00966EE8"/>
    <w:rsid w:val="009811B1"/>
    <w:rsid w:val="009849F5"/>
    <w:rsid w:val="009866B5"/>
    <w:rsid w:val="00992E76"/>
    <w:rsid w:val="009949AA"/>
    <w:rsid w:val="00994E2E"/>
    <w:rsid w:val="00997AC6"/>
    <w:rsid w:val="00997F6D"/>
    <w:rsid w:val="009A114D"/>
    <w:rsid w:val="009A17B1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0356E"/>
    <w:rsid w:val="00A13A1F"/>
    <w:rsid w:val="00A16956"/>
    <w:rsid w:val="00A16E63"/>
    <w:rsid w:val="00A23C13"/>
    <w:rsid w:val="00A336F8"/>
    <w:rsid w:val="00A33D5A"/>
    <w:rsid w:val="00A44B16"/>
    <w:rsid w:val="00A465AD"/>
    <w:rsid w:val="00A51878"/>
    <w:rsid w:val="00A522CA"/>
    <w:rsid w:val="00A545DF"/>
    <w:rsid w:val="00A57EA2"/>
    <w:rsid w:val="00A61EF6"/>
    <w:rsid w:val="00A643EF"/>
    <w:rsid w:val="00A7273B"/>
    <w:rsid w:val="00A77D56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5649"/>
    <w:rsid w:val="00B15EC1"/>
    <w:rsid w:val="00B172C7"/>
    <w:rsid w:val="00B34B2C"/>
    <w:rsid w:val="00B40778"/>
    <w:rsid w:val="00B45A3C"/>
    <w:rsid w:val="00B51963"/>
    <w:rsid w:val="00B5764D"/>
    <w:rsid w:val="00B649F9"/>
    <w:rsid w:val="00B663B4"/>
    <w:rsid w:val="00B67C4A"/>
    <w:rsid w:val="00B70700"/>
    <w:rsid w:val="00B72348"/>
    <w:rsid w:val="00B77117"/>
    <w:rsid w:val="00B81ACA"/>
    <w:rsid w:val="00B82179"/>
    <w:rsid w:val="00B86547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E13F1"/>
    <w:rsid w:val="00BE358E"/>
    <w:rsid w:val="00BE3E7E"/>
    <w:rsid w:val="00BF31D1"/>
    <w:rsid w:val="00BF3560"/>
    <w:rsid w:val="00BF542C"/>
    <w:rsid w:val="00C02F62"/>
    <w:rsid w:val="00C10B36"/>
    <w:rsid w:val="00C17727"/>
    <w:rsid w:val="00C2562B"/>
    <w:rsid w:val="00C27D41"/>
    <w:rsid w:val="00C31719"/>
    <w:rsid w:val="00C31B5C"/>
    <w:rsid w:val="00C351ED"/>
    <w:rsid w:val="00C362E3"/>
    <w:rsid w:val="00C37392"/>
    <w:rsid w:val="00C50FBF"/>
    <w:rsid w:val="00C5412F"/>
    <w:rsid w:val="00C72CB2"/>
    <w:rsid w:val="00C730F7"/>
    <w:rsid w:val="00C80664"/>
    <w:rsid w:val="00C8103D"/>
    <w:rsid w:val="00C82E06"/>
    <w:rsid w:val="00C845A0"/>
    <w:rsid w:val="00C93FD3"/>
    <w:rsid w:val="00C973F6"/>
    <w:rsid w:val="00C97D22"/>
    <w:rsid w:val="00CA30E2"/>
    <w:rsid w:val="00CA318B"/>
    <w:rsid w:val="00CA4223"/>
    <w:rsid w:val="00CC0B68"/>
    <w:rsid w:val="00CD57D5"/>
    <w:rsid w:val="00CE2C85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7458F"/>
    <w:rsid w:val="00D77EAC"/>
    <w:rsid w:val="00D816A6"/>
    <w:rsid w:val="00D83D46"/>
    <w:rsid w:val="00D86B1B"/>
    <w:rsid w:val="00D9366F"/>
    <w:rsid w:val="00D9414F"/>
    <w:rsid w:val="00DA5136"/>
    <w:rsid w:val="00DB311D"/>
    <w:rsid w:val="00DC1412"/>
    <w:rsid w:val="00DC175C"/>
    <w:rsid w:val="00DC667C"/>
    <w:rsid w:val="00DD665C"/>
    <w:rsid w:val="00DE2065"/>
    <w:rsid w:val="00DE4EE4"/>
    <w:rsid w:val="00DE7B34"/>
    <w:rsid w:val="00E06718"/>
    <w:rsid w:val="00E109E7"/>
    <w:rsid w:val="00E235E2"/>
    <w:rsid w:val="00E3108D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6139"/>
    <w:rsid w:val="00E62A52"/>
    <w:rsid w:val="00E7220C"/>
    <w:rsid w:val="00E72530"/>
    <w:rsid w:val="00E75648"/>
    <w:rsid w:val="00E777F5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A5E37"/>
    <w:rsid w:val="00EB1020"/>
    <w:rsid w:val="00EB3656"/>
    <w:rsid w:val="00EB44D1"/>
    <w:rsid w:val="00EB521F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12FB0"/>
    <w:rsid w:val="00F156E0"/>
    <w:rsid w:val="00F16EFD"/>
    <w:rsid w:val="00F23A36"/>
    <w:rsid w:val="00F25DEC"/>
    <w:rsid w:val="00F3101E"/>
    <w:rsid w:val="00F33B0A"/>
    <w:rsid w:val="00F40CDF"/>
    <w:rsid w:val="00F52335"/>
    <w:rsid w:val="00F53318"/>
    <w:rsid w:val="00F55356"/>
    <w:rsid w:val="00F55EDF"/>
    <w:rsid w:val="00F61E51"/>
    <w:rsid w:val="00F716FD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3075</Words>
  <Characters>18456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STBU Brokerzy Ubezpieczeniowi Sp. z o.o.</dc:creator>
  <cp:lastModifiedBy>Agnieszka Skwira</cp:lastModifiedBy>
  <cp:revision>34</cp:revision>
  <cp:lastPrinted>2022-08-11T07:22:00Z</cp:lastPrinted>
  <dcterms:created xsi:type="dcterms:W3CDTF">2022-07-19T11:17:00Z</dcterms:created>
  <dcterms:modified xsi:type="dcterms:W3CDTF">2022-08-11T07:24:00Z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