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7777777" w:rsidR="00853FC5" w:rsidRPr="003F3091" w:rsidRDefault="00853FC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14:paraId="5FED9A99" w14:textId="77777777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783E88BF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4A4769">
        <w:rPr>
          <w:sz w:val="22"/>
          <w:szCs w:val="22"/>
        </w:rPr>
        <w:t>29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0D06A3C0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4A4769" w:rsidRPr="007C0D9D">
        <w:rPr>
          <w:b/>
          <w:bCs/>
          <w:sz w:val="22"/>
          <w:szCs w:val="22"/>
        </w:rPr>
        <w:t>DOSTAWA</w:t>
      </w:r>
      <w:r w:rsidR="004A4769">
        <w:rPr>
          <w:b/>
          <w:bCs/>
          <w:sz w:val="22"/>
          <w:szCs w:val="22"/>
        </w:rPr>
        <w:t xml:space="preserve"> </w:t>
      </w:r>
      <w:r w:rsidR="004A4769" w:rsidRPr="007C0D9D">
        <w:rPr>
          <w:b/>
          <w:bCs/>
          <w:sz w:val="22"/>
          <w:szCs w:val="22"/>
        </w:rPr>
        <w:t>– WYPOSAŻENIE SKRZYNI</w:t>
      </w:r>
      <w:r w:rsidR="004A4769">
        <w:rPr>
          <w:b/>
          <w:bCs/>
          <w:sz w:val="22"/>
          <w:szCs w:val="22"/>
        </w:rPr>
        <w:t xml:space="preserve"> DO</w:t>
      </w:r>
      <w:r w:rsidR="004A4769" w:rsidRPr="007C0D9D">
        <w:rPr>
          <w:b/>
          <w:bCs/>
          <w:sz w:val="22"/>
          <w:szCs w:val="22"/>
        </w:rPr>
        <w:t xml:space="preserve"> KUCHNI POLOWYCH –POKROWIEC DO PRZECHOWYWANIA WYPOSAŻENI</w:t>
      </w:r>
      <w:r w:rsidR="004A4769">
        <w:rPr>
          <w:b/>
          <w:bCs/>
          <w:sz w:val="22"/>
          <w:szCs w:val="22"/>
        </w:rPr>
        <w:t>A</w:t>
      </w:r>
    </w:p>
    <w:p w14:paraId="5CEBB0D5" w14:textId="51A910F4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4A4769">
        <w:rPr>
          <w:rFonts w:eastAsia="SimSun"/>
          <w:b/>
          <w:kern w:val="3"/>
          <w:sz w:val="22"/>
          <w:szCs w:val="22"/>
          <w:lang w:eastAsia="zh-CN" w:bidi="hi-IN"/>
        </w:rPr>
        <w:t>105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58EBC63A" w14:textId="6B3C0231" w:rsidR="002B1E1B" w:rsidRP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B6EC7">
        <w:rPr>
          <w:sz w:val="22"/>
          <w:szCs w:val="22"/>
          <w:lang w:eastAsia="en-US"/>
        </w:rPr>
        <w:t xml:space="preserve"> </w:t>
      </w:r>
      <w:r w:rsidR="00E60D09">
        <w:rPr>
          <w:sz w:val="22"/>
          <w:szCs w:val="22"/>
          <w:lang w:eastAsia="en-US"/>
        </w:rPr>
        <w:t>D</w:t>
      </w:r>
      <w:r w:rsidRPr="008B6EC7">
        <w:rPr>
          <w:sz w:val="22"/>
          <w:szCs w:val="22"/>
          <w:lang w:eastAsia="en-US"/>
        </w:rPr>
        <w:t>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Zamawiający zmienia treść SWZ oraz udostępnia dokonaną zmianę na stronie internetowej prowadzonego postępowania zgodnie z art. 137 ust 2 Ustawy Pzp. </w:t>
      </w:r>
      <w:r w:rsidRPr="008B6EC7">
        <w:rPr>
          <w:sz w:val="22"/>
          <w:szCs w:val="22"/>
          <w:lang w:eastAsia="en-US"/>
        </w:rPr>
        <w:t xml:space="preserve"> </w:t>
      </w:r>
    </w:p>
    <w:p w14:paraId="713B8303" w14:textId="065D1B80" w:rsidR="00E60D09" w:rsidRPr="00E60D09" w:rsidRDefault="00E60D09" w:rsidP="00705CE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 związku z weryfikacją Załącznika nr 3 do </w:t>
      </w:r>
      <w:r w:rsidRPr="00E60D09">
        <w:rPr>
          <w:rFonts w:eastAsia="Calibri"/>
          <w:i/>
          <w:sz w:val="22"/>
          <w:szCs w:val="22"/>
          <w:lang w:eastAsia="en-US"/>
        </w:rPr>
        <w:t>„Projektowanych postanowień umowy”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 w:rsidRPr="00E60D09">
        <w:rPr>
          <w:rFonts w:eastAsia="Calibri"/>
          <w:sz w:val="22"/>
          <w:szCs w:val="22"/>
          <w:lang w:eastAsia="en-US"/>
        </w:rPr>
        <w:t>tj. WET,</w:t>
      </w:r>
      <w:r>
        <w:rPr>
          <w:rFonts w:eastAsia="Calibri"/>
          <w:sz w:val="22"/>
          <w:szCs w:val="22"/>
          <w:lang w:eastAsia="en-US"/>
        </w:rPr>
        <w:t xml:space="preserve"> Zamawiający dokonuje korekt w poszczególnych zakresach Karty Katalogowej Wykonawcy niezbędnej przy ocenie ofert</w:t>
      </w:r>
      <w:r w:rsidRPr="00E60D09">
        <w:rPr>
          <w:rFonts w:eastAsia="Calibri"/>
          <w:sz w:val="22"/>
          <w:szCs w:val="22"/>
          <w:lang w:eastAsia="en-US"/>
        </w:rPr>
        <w:t xml:space="preserve"> </w:t>
      </w:r>
    </w:p>
    <w:p w14:paraId="42399064" w14:textId="745342FA" w:rsidR="009F177F" w:rsidRPr="009F177F" w:rsidRDefault="003C3257" w:rsidP="00705CE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 związku z powyższym Zamawiający zamieszcza w dokumentacji postępowania aktualny, obowiązujący </w:t>
      </w:r>
      <w:r w:rsidR="00E60D09">
        <w:rPr>
          <w:rFonts w:eastAsia="Calibri"/>
          <w:sz w:val="22"/>
          <w:szCs w:val="22"/>
          <w:lang w:eastAsia="en-US"/>
        </w:rPr>
        <w:t>„</w:t>
      </w:r>
      <w:r w:rsidRPr="00E60D09">
        <w:rPr>
          <w:rFonts w:eastAsia="Calibri"/>
          <w:b/>
          <w:sz w:val="22"/>
          <w:szCs w:val="22"/>
          <w:lang w:eastAsia="en-US"/>
        </w:rPr>
        <w:t>Załącznik nr 3 do SWZ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9F177F" w:rsidRPr="009F177F">
        <w:rPr>
          <w:rFonts w:eastAsia="Calibri"/>
          <w:b/>
          <w:sz w:val="22"/>
          <w:szCs w:val="22"/>
          <w:lang w:eastAsia="en-US"/>
        </w:rPr>
        <w:t xml:space="preserve">Karta Katalogowa </w:t>
      </w:r>
      <w:r>
        <w:rPr>
          <w:rFonts w:eastAsia="Calibri"/>
          <w:b/>
          <w:sz w:val="22"/>
          <w:szCs w:val="22"/>
          <w:lang w:eastAsia="en-US"/>
        </w:rPr>
        <w:t xml:space="preserve">- </w:t>
      </w:r>
      <w:r w:rsidRPr="003C3257">
        <w:rPr>
          <w:rFonts w:eastAsia="Calibri"/>
          <w:b/>
          <w:color w:val="FF0000"/>
          <w:sz w:val="22"/>
          <w:szCs w:val="22"/>
          <w:lang w:eastAsia="en-US"/>
        </w:rPr>
        <w:t>po modyfikacji</w:t>
      </w:r>
      <w:r w:rsidR="00E60D09">
        <w:rPr>
          <w:rFonts w:eastAsia="Calibri"/>
          <w:b/>
          <w:sz w:val="22"/>
          <w:szCs w:val="22"/>
          <w:lang w:eastAsia="en-US"/>
        </w:rPr>
        <w:t>”</w:t>
      </w:r>
      <w:r w:rsidR="00053546">
        <w:rPr>
          <w:rFonts w:eastAsia="Calibri"/>
          <w:b/>
          <w:sz w:val="22"/>
          <w:szCs w:val="22"/>
          <w:lang w:eastAsia="en-US"/>
        </w:rPr>
        <w:t xml:space="preserve"> </w:t>
      </w:r>
      <w:r w:rsidR="00053546">
        <w:rPr>
          <w:rFonts w:eastAsia="Calibri"/>
          <w:b/>
          <w:sz w:val="22"/>
          <w:szCs w:val="22"/>
          <w:lang w:eastAsia="en-US"/>
        </w:rPr>
        <w:br/>
      </w:r>
      <w:r w:rsidR="00053546" w:rsidRPr="00053546">
        <w:rPr>
          <w:rFonts w:eastAsia="Calibri"/>
          <w:sz w:val="22"/>
          <w:szCs w:val="22"/>
          <w:lang w:eastAsia="en-US"/>
        </w:rPr>
        <w:t>Tym samym</w:t>
      </w:r>
      <w:r w:rsidR="00053546">
        <w:rPr>
          <w:rFonts w:eastAsia="Calibri"/>
          <w:b/>
          <w:sz w:val="22"/>
          <w:szCs w:val="22"/>
          <w:lang w:eastAsia="en-US"/>
        </w:rPr>
        <w:t xml:space="preserve"> </w:t>
      </w:r>
      <w:r w:rsidR="00053546" w:rsidRPr="00053546">
        <w:rPr>
          <w:rFonts w:eastAsia="Calibri"/>
          <w:b/>
          <w:sz w:val="22"/>
          <w:szCs w:val="22"/>
          <w:u w:val="single"/>
          <w:lang w:eastAsia="en-US"/>
        </w:rPr>
        <w:t>„Załącznik nr 3 do SWZ</w:t>
      </w:r>
      <w:r w:rsidR="00E60D09">
        <w:rPr>
          <w:rFonts w:eastAsia="Calibri"/>
          <w:b/>
          <w:sz w:val="22"/>
          <w:szCs w:val="22"/>
          <w:u w:val="single"/>
          <w:lang w:eastAsia="en-US"/>
        </w:rPr>
        <w:t xml:space="preserve"> karta katalogowa</w:t>
      </w:r>
      <w:r w:rsidR="00053546" w:rsidRPr="00053546">
        <w:rPr>
          <w:rFonts w:eastAsia="Calibri"/>
          <w:b/>
          <w:sz w:val="22"/>
          <w:szCs w:val="22"/>
          <w:u w:val="single"/>
          <w:lang w:eastAsia="en-US"/>
        </w:rPr>
        <w:t>”</w:t>
      </w:r>
      <w:r w:rsidR="00053546">
        <w:rPr>
          <w:rFonts w:eastAsia="Calibri"/>
          <w:b/>
          <w:sz w:val="22"/>
          <w:szCs w:val="22"/>
          <w:lang w:eastAsia="en-US"/>
        </w:rPr>
        <w:t xml:space="preserve"> </w:t>
      </w:r>
      <w:r w:rsidR="00053546" w:rsidRPr="00053546">
        <w:rPr>
          <w:rFonts w:eastAsia="Calibri"/>
          <w:color w:val="FF0000"/>
          <w:sz w:val="22"/>
          <w:szCs w:val="22"/>
          <w:u w:val="single"/>
          <w:lang w:eastAsia="en-US"/>
        </w:rPr>
        <w:t>przestaj</w:t>
      </w:r>
      <w:r w:rsidR="00E60D09">
        <w:rPr>
          <w:rFonts w:eastAsia="Calibri"/>
          <w:color w:val="FF0000"/>
          <w:sz w:val="22"/>
          <w:szCs w:val="22"/>
          <w:u w:val="single"/>
          <w:lang w:eastAsia="en-US"/>
        </w:rPr>
        <w:t>e</w:t>
      </w:r>
      <w:r w:rsidR="00053546" w:rsidRPr="00053546">
        <w:rPr>
          <w:rFonts w:eastAsia="Calibri"/>
          <w:color w:val="FF0000"/>
          <w:sz w:val="22"/>
          <w:szCs w:val="22"/>
          <w:u w:val="single"/>
          <w:lang w:eastAsia="en-US"/>
        </w:rPr>
        <w:t xml:space="preserve"> obowiązywać</w:t>
      </w:r>
      <w:r w:rsidR="00053546">
        <w:rPr>
          <w:rFonts w:eastAsia="Calibri"/>
          <w:b/>
          <w:sz w:val="22"/>
          <w:szCs w:val="22"/>
          <w:lang w:eastAsia="en-US"/>
        </w:rPr>
        <w:t>.</w:t>
      </w:r>
    </w:p>
    <w:p w14:paraId="0949A1B2" w14:textId="77777777" w:rsidR="003C3257" w:rsidRDefault="003C3257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14:paraId="0DC0657F" w14:textId="776C1AB6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4"/>
          <w:szCs w:val="24"/>
        </w:rPr>
        <w:t>Treść zmian stanowi integralną część SWZ i należy j</w:t>
      </w:r>
      <w:r w:rsidR="00424BBA">
        <w:rPr>
          <w:b/>
          <w:bCs/>
          <w:iCs/>
          <w:sz w:val="24"/>
          <w:szCs w:val="24"/>
        </w:rPr>
        <w:t>ą</w:t>
      </w:r>
      <w:r>
        <w:rPr>
          <w:b/>
          <w:bCs/>
          <w:iCs/>
          <w:sz w:val="24"/>
          <w:szCs w:val="24"/>
        </w:rPr>
        <w:t xml:space="preserve"> uwzględnić podczas przygotowywania ofert.</w:t>
      </w:r>
    </w:p>
    <w:p w14:paraId="495C205F" w14:textId="6E52C2C9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780796E5" w14:textId="30D1CCBA" w:rsidR="00931588" w:rsidRDefault="00931588" w:rsidP="00424BBA">
      <w:pPr>
        <w:shd w:val="clear" w:color="auto" w:fill="FFFFFF"/>
        <w:spacing w:after="120"/>
        <w:ind w:left="2552" w:hanging="2552"/>
        <w:jc w:val="both"/>
        <w:rPr>
          <w:b/>
          <w:bCs/>
          <w:iCs/>
          <w:sz w:val="22"/>
          <w:szCs w:val="22"/>
        </w:rPr>
      </w:pPr>
      <w:r w:rsidRPr="00424BBA">
        <w:rPr>
          <w:b/>
          <w:bCs/>
          <w:iCs/>
          <w:sz w:val="22"/>
          <w:szCs w:val="22"/>
          <w:u w:val="single"/>
        </w:rPr>
        <w:t xml:space="preserve">Załącznik nr 1 </w:t>
      </w:r>
      <w:r w:rsidR="00424BBA" w:rsidRPr="00424BBA">
        <w:rPr>
          <w:b/>
          <w:bCs/>
          <w:iCs/>
          <w:sz w:val="22"/>
          <w:szCs w:val="22"/>
          <w:u w:val="single"/>
        </w:rPr>
        <w:t>na 1 str.</w:t>
      </w:r>
      <w:r w:rsidR="00424BBA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- </w:t>
      </w:r>
      <w:r w:rsidR="00E60D09">
        <w:rPr>
          <w:sz w:val="22"/>
          <w:szCs w:val="22"/>
        </w:rPr>
        <w:t xml:space="preserve"> Załącznik nr 3 do SWZ „</w:t>
      </w:r>
      <w:r w:rsidR="009F177F">
        <w:rPr>
          <w:sz w:val="22"/>
          <w:szCs w:val="22"/>
        </w:rPr>
        <w:t xml:space="preserve">Karta Katalogowa – </w:t>
      </w:r>
      <w:r w:rsidR="009F177F" w:rsidRPr="009F177F">
        <w:rPr>
          <w:color w:val="FF0000"/>
          <w:sz w:val="22"/>
          <w:szCs w:val="22"/>
        </w:rPr>
        <w:t>po modyfikacji</w:t>
      </w:r>
      <w:r w:rsidR="009F177F">
        <w:rPr>
          <w:sz w:val="22"/>
          <w:szCs w:val="22"/>
        </w:rPr>
        <w:t>”</w:t>
      </w:r>
      <w:r w:rsidR="00424BBA" w:rsidRPr="00424BBA">
        <w:rPr>
          <w:sz w:val="22"/>
          <w:szCs w:val="22"/>
        </w:rPr>
        <w:t xml:space="preserve"> – </w:t>
      </w:r>
      <w:r w:rsidR="00424BBA">
        <w:rPr>
          <w:sz w:val="22"/>
          <w:szCs w:val="22"/>
        </w:rPr>
        <w:t xml:space="preserve">tylko </w:t>
      </w:r>
      <w:r w:rsidR="00424BBA" w:rsidRPr="00424BBA">
        <w:rPr>
          <w:sz w:val="22"/>
          <w:szCs w:val="22"/>
        </w:rPr>
        <w:t xml:space="preserve">wersja </w:t>
      </w:r>
      <w:r w:rsidR="00424BBA">
        <w:rPr>
          <w:sz w:val="22"/>
          <w:szCs w:val="22"/>
        </w:rPr>
        <w:t>elektroniczna</w:t>
      </w:r>
    </w:p>
    <w:p w14:paraId="43EB1D18" w14:textId="2DC7EB4D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901B37A" w14:textId="77777777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8CB5D81" w14:textId="661D2B39" w:rsidR="004B469C" w:rsidRDefault="004A4769" w:rsidP="00892844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/-/ </w:t>
      </w:r>
      <w:bookmarkStart w:id="1" w:name="_GoBack"/>
      <w:bookmarkEnd w:id="1"/>
      <w:r w:rsidR="00892844">
        <w:rPr>
          <w:sz w:val="22"/>
          <w:szCs w:val="22"/>
          <w:lang w:eastAsia="en-US"/>
        </w:rPr>
        <w:t>Patrycja GALEZ</w:t>
      </w:r>
    </w:p>
    <w:p w14:paraId="39068579" w14:textId="77777777" w:rsidR="004A4769" w:rsidRPr="00C34251" w:rsidRDefault="004A4769" w:rsidP="00892844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</w:p>
    <w:bookmarkEnd w:id="0"/>
    <w:p w14:paraId="4ED44D70" w14:textId="77777777" w:rsidR="003C3257" w:rsidRPr="00F531F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60D09">
      <w:footerReference w:type="default" r:id="rId12"/>
      <w:footerReference w:type="first" r:id="rId13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29E8" w14:textId="77777777" w:rsidR="002D60BC" w:rsidRDefault="002D60BC" w:rsidP="008F363E">
      <w:r>
        <w:separator/>
      </w:r>
    </w:p>
  </w:endnote>
  <w:endnote w:type="continuationSeparator" w:id="0">
    <w:p w14:paraId="78252E0F" w14:textId="77777777" w:rsidR="002D60BC" w:rsidRDefault="002D60BC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57679051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009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287FEF" w14:textId="7579661C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EB52" w14:textId="77777777" w:rsidR="002D60BC" w:rsidRDefault="002D60BC" w:rsidP="008F363E">
      <w:r>
        <w:separator/>
      </w:r>
    </w:p>
  </w:footnote>
  <w:footnote w:type="continuationSeparator" w:id="0">
    <w:p w14:paraId="0E34B1E9" w14:textId="77777777" w:rsidR="002D60BC" w:rsidRDefault="002D60BC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D60BC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4769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466EC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0D09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7D3F5A-D98C-4D7B-881D-9BD207512E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11</cp:revision>
  <cp:lastPrinted>2025-04-28T09:53:00Z</cp:lastPrinted>
  <dcterms:created xsi:type="dcterms:W3CDTF">2025-03-24T12:13:00Z</dcterms:created>
  <dcterms:modified xsi:type="dcterms:W3CDTF">2025-04-28T09:57:00Z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