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343FA2" w:rsidRDefault="00343FA2" w:rsidP="00343FA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produktów </w:t>
      </w:r>
      <w:r w:rsidR="0035613D">
        <w:rPr>
          <w:rFonts w:ascii="Arial" w:hAnsi="Arial" w:cs="Arial"/>
          <w:b/>
          <w:sz w:val="28"/>
          <w:szCs w:val="28"/>
        </w:rPr>
        <w:t>mleczarskich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br/>
        <w:t xml:space="preserve">do magazynów 33 Wojskowego Oddziału Gospodarczego zlokalizowanych 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3 części)”</w:t>
      </w:r>
    </w:p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343FA2">
        <w:rPr>
          <w:rFonts w:ascii="Arial" w:hAnsi="Arial" w:cs="Arial"/>
          <w:b/>
          <w:sz w:val="28"/>
          <w:szCs w:val="28"/>
        </w:rPr>
        <w:t>6</w:t>
      </w:r>
      <w:r w:rsidR="0035613D">
        <w:rPr>
          <w:rFonts w:ascii="Arial" w:hAnsi="Arial" w:cs="Arial"/>
          <w:b/>
          <w:sz w:val="28"/>
          <w:szCs w:val="28"/>
        </w:rPr>
        <w:t>9</w:t>
      </w:r>
      <w:r>
        <w:rPr>
          <w:rFonts w:ascii="Arial" w:hAnsi="Arial" w:cs="Arial"/>
          <w:b/>
          <w:sz w:val="28"/>
          <w:szCs w:val="28"/>
        </w:rPr>
        <w:t>/2024</w:t>
      </w:r>
      <w:bookmarkStart w:id="1" w:name="_GoBack"/>
      <w:bookmarkEnd w:id="1"/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D20651">
        <w:rPr>
          <w:rFonts w:ascii="Arial" w:hAnsi="Arial" w:cs="Arial"/>
          <w:i/>
          <w:sz w:val="20"/>
        </w:rPr>
        <w:lastRenderedPageBreak/>
        <w:t xml:space="preserve">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BE9" w:rsidRDefault="00C23BE9">
      <w:r>
        <w:separator/>
      </w:r>
    </w:p>
  </w:endnote>
  <w:endnote w:type="continuationSeparator" w:id="0">
    <w:p w:rsidR="00C23BE9" w:rsidRDefault="00C23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BE9" w:rsidRDefault="00C23BE9">
      <w:r>
        <w:separator/>
      </w:r>
    </w:p>
  </w:footnote>
  <w:footnote w:type="continuationSeparator" w:id="0">
    <w:p w:rsidR="00C23BE9" w:rsidRDefault="00C23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5613D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23BE9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9A1D4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EA9-B330-40DF-A171-61BAAA096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04DA61-2096-4B72-9C9B-CFA16F571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1104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10</cp:revision>
  <cp:lastPrinted>2022-05-10T08:57:00Z</cp:lastPrinted>
  <dcterms:created xsi:type="dcterms:W3CDTF">2023-07-27T12:39:00Z</dcterms:created>
  <dcterms:modified xsi:type="dcterms:W3CDTF">2024-09-13T07:03:00Z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