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E6" w:rsidRPr="00235813" w:rsidRDefault="002A2DE6" w:rsidP="002A2DE6">
      <w:pPr>
        <w:spacing w:after="75" w:line="240" w:lineRule="auto"/>
        <w:jc w:val="center"/>
        <w:textAlignment w:val="baseline"/>
        <w:rPr>
          <w:rFonts w:cstheme="minorHAnsi"/>
          <w:b/>
          <w:caps/>
          <w:color w:val="363636"/>
          <w:shd w:val="clear" w:color="auto" w:fill="F9F9F9"/>
        </w:rPr>
      </w:pPr>
      <w:r w:rsidRPr="00235813">
        <w:rPr>
          <w:rFonts w:cstheme="minorHAnsi"/>
          <w:b/>
          <w:caps/>
          <w:color w:val="363636"/>
          <w:shd w:val="clear" w:color="auto" w:fill="F9F9F9"/>
        </w:rPr>
        <w:t>OPIS PRZEDMIOTU ZAMÓWIENIA</w:t>
      </w:r>
    </w:p>
    <w:p w:rsidR="002A2DE6" w:rsidRPr="009E3B8B" w:rsidRDefault="002A2DE6" w:rsidP="002A2DE6">
      <w:pPr>
        <w:spacing w:after="0" w:line="240" w:lineRule="auto"/>
        <w:jc w:val="both"/>
        <w:rPr>
          <w:vanish/>
          <w:specVanish/>
        </w:rPr>
      </w:pPr>
      <w:r w:rsidRPr="009E3B8B">
        <w:t xml:space="preserve">Za równoważne do przykładowych rozwiązań przyjmuje się oprogramowanie spełniające wszystkie funkcje i wymagania, zgodnie z dokumentacją techniczną programów </w:t>
      </w:r>
      <w:r w:rsidRPr="009E3B8B">
        <w:br/>
        <w:t>i urządzeń wskazanych przez zamawiającego jako przykładowe. W przypadku zaoferowania oprogramowania równoważnego, na Wykonawcy spoczywa obowiązek udowodnienia zachowania określonych cech. W przeprowadzonym dowodzie należy odnieść się do norm, parametrów oraz standardów i dokonać porów</w:t>
      </w:r>
      <w:r w:rsidR="009E3B8B" w:rsidRPr="009E3B8B">
        <w:t>nania z oprogramowaniem</w:t>
      </w:r>
      <w:r w:rsidRPr="009E3B8B">
        <w:t xml:space="preserve"> wskazanym przez zamawiającego jako standard. Z porównania musi jednoznacznie wynikać, iż produkt oferowany jako równoważny jest taki sam lub lepszy od produktu wskazanego przez zamawiającego.</w:t>
      </w:r>
    </w:p>
    <w:p w:rsidR="002A2DE6" w:rsidRPr="003F2B74" w:rsidRDefault="002A2DE6" w:rsidP="002A2DE6">
      <w:pPr>
        <w:spacing w:after="0" w:line="240" w:lineRule="auto"/>
        <w:jc w:val="both"/>
        <w:rPr>
          <w:color w:val="FF0000"/>
        </w:rPr>
      </w:pPr>
      <w:r w:rsidRPr="009E3B8B">
        <w:t xml:space="preserve"> </w:t>
      </w:r>
    </w:p>
    <w:p w:rsidR="002A2DE6" w:rsidRPr="009E3B8B" w:rsidRDefault="002A2DE6" w:rsidP="002A2DE6">
      <w:pPr>
        <w:spacing w:after="0" w:line="240" w:lineRule="auto"/>
        <w:jc w:val="both"/>
      </w:pPr>
      <w:r w:rsidRPr="009E3B8B">
        <w:t xml:space="preserve">Jeżeli w opisie użyto do opisania przedmiotu zamówienia oznaczeń lub parametrów wskazujących konkretnego producenta, lub wskazano konkretny produkt, to należy mieć </w:t>
      </w:r>
      <w:r w:rsidRPr="009E3B8B">
        <w:br/>
        <w:t>na względzie, że Zamawiający dopuszcza zastosowanie produktów równoważnych, przez które należy rozumieć produkty o parametrach nie gorszych od przedstawionych w opisie, kompatybilne (współpracujące) z posiadanymi systemami w tym samym zakresie, co produkty określone w opisie.</w:t>
      </w:r>
    </w:p>
    <w:p w:rsidR="002A2DE6" w:rsidRPr="009E3B8B" w:rsidRDefault="002A2DE6" w:rsidP="002A2DE6">
      <w:pPr>
        <w:spacing w:after="0" w:line="240" w:lineRule="auto"/>
        <w:jc w:val="both"/>
      </w:pPr>
      <w:r w:rsidRPr="009E3B8B">
        <w:t>Na Wykonawcy spoczywa obowiązek udowodnienia zachowania określonych cech. W przeprowadzonym dowodzie należy odnieść się do norm, parametrów oraz standardów i dokonać ich porównania z normą</w:t>
      </w:r>
      <w:r w:rsidR="009E3B8B">
        <w:t>/cechami/funkcjonalnościami</w:t>
      </w:r>
      <w:r w:rsidRPr="009E3B8B">
        <w:t xml:space="preserve"> wskazaną przez Zamawiającego jako standard.</w:t>
      </w:r>
    </w:p>
    <w:p w:rsidR="008C673A" w:rsidRDefault="008C673A"/>
    <w:p w:rsidR="009E3B8B" w:rsidRDefault="009E3B8B" w:rsidP="009F3BA9">
      <w:pPr>
        <w:spacing w:after="0" w:line="240" w:lineRule="auto"/>
      </w:pPr>
      <w:r w:rsidRPr="009F3BA9">
        <w:t>Przedmiotem zapytania ofertowego jest usługa przeniesienia</w:t>
      </w:r>
      <w:r w:rsidR="00F071B1">
        <w:t xml:space="preserve"> wraz z dostarczeniem</w:t>
      </w:r>
      <w:r w:rsidRPr="009F3BA9">
        <w:t xml:space="preserve"> na rzecz Zamawiającego licencji na użytkowanie oprogramowania </w:t>
      </w:r>
      <w:r w:rsidR="00F071B1">
        <w:t xml:space="preserve">do analiz finansowych </w:t>
      </w:r>
      <w:r w:rsidRPr="009F3BA9">
        <w:t>o poniższych funkcjonalnościach:</w:t>
      </w:r>
      <w:bookmarkStart w:id="0" w:name="_GoBack"/>
      <w:bookmarkEnd w:id="0"/>
    </w:p>
    <w:p w:rsidR="00F071B1" w:rsidRPr="009F3BA9" w:rsidRDefault="00F071B1" w:rsidP="009F3BA9">
      <w:pPr>
        <w:spacing w:after="0" w:line="240" w:lineRule="auto"/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płynności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Płynność bieżąca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Płynność szybka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Płynność gotówki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do zobowiązań krótkoterminowych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do sprzedaży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do zysku netto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Należności terminowe do zobowiązań terminowych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operacyjna do odsetek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operacyjna do kosztów finansowych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operacyjna do kosztów finansowych i zobowiązań krótkoterminowych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majątku obrotowego netto w aktywach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rotacji majątku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aktywów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majątku trwałego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majątku obrotowego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gotówki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należności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zapasów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towarów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rotacji majątku w dniach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majątku obrotowego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Gotówka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Należności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Należności przeterminowane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materiałów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Produkcja nie zakończona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Produkty gotowe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Towary do sprzedaży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materiałów do zużycia materiałów w dniach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rotacji kapitału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kapitału stałego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krótkoterminowych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kredytów i pożyczek krótkoterminowych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z tytułu dostaw i usług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zysku netto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rotacji kapitału w dniach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krótkoterminowych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kredytów i pożyczek krótkoterminowych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z tytułu dostaw i usług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z tytułu podatków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zobowiązania wobec ZUS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z tytułu wynagrodzeń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wekslowe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z tyt. funduszy specjalnych w dniach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Rotacja zobowiązań z tytułu rezerw i rozliczenia międzyokresowe w dniach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struktury kapitałowej</w:t>
      </w: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ogółem do pasywów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ogółem do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ogółem do kapitału stałego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długoterminowe do pasywów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długoterminowe do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długoterminowe do kapitału stałego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krótkoterminowe do pasywów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krótkoterminowe do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Zobowiązania krótkoterminowe do kapitału stałego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obrotowy netto do pasywów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obrotowy netto do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obrotowy netto do kapitału stałego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pożyczek i krótkoterminowych kredytów bankowych w zob. krótkoterminowych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zob. z tytułu dostaw i usług w zob. krótkoterminowe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zob. wobec budżetów w zob. krótkoterminowych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struktury majątkowej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Majątek trwały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Rzeczowe składniki majątku trwałego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Wartości niematerialne i prawne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Finansowe składniki majątku trwałego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Majątek obrotowy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materiałów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Produkcja nie zakończona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produktów gotowych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Zapasy towarów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Należności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Środki pieniężne i pap. wart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rzeczowych składników majątku trwałego w majątku trwałym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wartości niematerialnych i prawnych w majątku trwałym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finansowych składników majątku trwałego w majątku trwałym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zapasów w majątku obrotowym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zapasów materiałów w majątku obrotowym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produkcji nie zakończonej w majątku obrotowym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zapasów produktów gotowych w majątku obrotowym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zapasów towarów w majątku obrotowym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należności w majątku obrotowym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środków pieniężnych i krótkoterminowych term pap. wart. w majątku obrotowym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 struktury kapitałowo-majątkowej</w:t>
      </w: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własny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własny do majątku trwałego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stały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stały do majątku trwałego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Kapitał obrotowy netto do aktywów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 efektywności pracy i wartości dodanej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wartości dodanej w sprzedaży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Wydajność pracy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Techniczne uzbrojenie pracy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Średnia płaca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Sprzedaż na zatrudnionego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płac w kosztach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zysku netto w wartości dodanej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amortyzacji w wartości dodanej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podatku dochodowego w wartości dodanej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płac w wartości dodanej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usług obcych w wartości dodanej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kosztów finansowych w wartości dodanej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rentowności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netto do sprzedaży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netto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netto do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operacyjny do sprzedaży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operacyjny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operacyjny do kapitału własnego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brutto do sprzedaży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brutto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brutto do kapitału własnego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Wskaźniki rozwoju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Nadwyżka finansowa do majątku trwałego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Nakłady inwestycyjne do nadwyżki finansowej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Nakłady inwestycyjne do amortyzacji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Nakłady inwestycyjne do aktywów ogółem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Nakłady inwestycyjne do majątku trwałego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Wzrost wydajności pracy do wzrostu płac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Struktura przychodów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przychodów ze sprzedaży w przychodach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pozostałych przychodów operacyjnych w przychodach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przychodów finansowych w przychodach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Zyski nadzwyczajne do przychodów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przychodów ze sprzedaży produktów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przychodów ze sprzedaży towarów i materiałów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eksportu w sprzedaży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Struktura kosztów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kosztów finansowych w kosztach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Straty nadzwyczajne do kosztów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kosztów działalności operacyjnej w kosztach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pozostałych kosztów operacyjnych w kosztach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wartości sprzedanych towarów w kosztach oper.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kosztów wytworzenia produktów w kosztach oper.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kosztów sprzedaży w koszt. operacyjnych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Udział kosztów ogólnego zarządu w koszt. oper.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lastRenderedPageBreak/>
        <w:t>Dźwignia finansowa</w:t>
      </w: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Dźwignia finansowa DF</w:t>
      </w: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</w:p>
    <w:p w:rsidR="002A2DE6" w:rsidRDefault="002A2DE6" w:rsidP="002A2DE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</w:pPr>
      <w:r w:rsidRPr="002A2DE6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l-PL"/>
        </w:rPr>
        <w:t>Pozostałe wskaźniki</w:t>
      </w:r>
    </w:p>
    <w:p w:rsidR="002A2DE6" w:rsidRPr="002A2DE6" w:rsidRDefault="002A2DE6" w:rsidP="002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Zysk netto do liczby akcji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Cena rynkowa akcji do zysku netto z akcji P/E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Cena rynkowa akcji do dywidendy z akcji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Dywidenda z akcji do ceny rynkowej akcji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Dywidenda z akcji do zysku netto z akcji</w:t>
      </w:r>
    </w:p>
    <w:p w:rsidR="002A2DE6" w:rsidRPr="002A2DE6" w:rsidRDefault="002A2DE6" w:rsidP="002A2D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A2DE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Cena rynkowa akcji do wartości księgowej akcji</w:t>
      </w:r>
    </w:p>
    <w:p w:rsidR="00F071B1" w:rsidRDefault="00F071B1" w:rsidP="002A2DE6">
      <w:pPr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:rsidR="002A2DE6" w:rsidRDefault="00F071B1" w:rsidP="00F071B1">
      <w:pPr>
        <w:spacing w:after="0"/>
      </w:pPr>
      <w:r w:rsidRPr="009F3BA9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Program</w:t>
      </w:r>
      <w:r w:rsidRPr="009F3BA9">
        <w:rPr>
          <w:rFonts w:ascii="Verdana" w:hAnsi="Verdana"/>
          <w:color w:val="000000"/>
          <w:sz w:val="18"/>
          <w:szCs w:val="18"/>
          <w:shd w:val="clear" w:color="auto" w:fill="FFFFFF"/>
        </w:rPr>
        <w:t> składa się z 2 plików:</w:t>
      </w:r>
      <w:r w:rsidRPr="009F3BA9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Arkusz kalkulacyjny - plik Excel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Dokument tekstowy - plik Word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arkuszu kalkulacyjnym znajdziemy gotowe formuły wyliczające 134 wskaźniki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ekonomiczno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finansowe. Należy podać dane ze sprawozdania finansowego – w części niebieskiej - (bilans oraz rachunek)i niektóre dane dodatkowe, np. ilość zatrudnionych osób, ilość dni w analizowanym okresie (miesiąc - 30 dni, kwartał - 90 dni,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ect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.) a wskaźniki automatycznie zostaną wyliczone przez arkusz. Efekty widoczne będą w części zielonej. Dodatkowo przy nazwie każdego wskaźnika znajduje się jego opis tj. informacja o czym informuje ten wskaźnik, z jakich danych jest wyliczany, oczekiwany zakres, etc.</w:t>
      </w:r>
      <w:r>
        <w:rPr>
          <w:rFonts w:ascii="Verdana" w:hAnsi="Verdana"/>
          <w:color w:val="000000"/>
          <w:sz w:val="18"/>
          <w:szCs w:val="18"/>
        </w:rPr>
        <w:br/>
      </w:r>
      <w:r>
        <w:t>Ponadto oprogramowanie cechuje się właściwościami:</w:t>
      </w:r>
    </w:p>
    <w:p w:rsidR="00F071B1" w:rsidRPr="00F071B1" w:rsidRDefault="00F071B1" w:rsidP="00F071B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 w:cs="Times New Roman"/>
          <w:color w:val="000000"/>
          <w:sz w:val="18"/>
          <w:szCs w:val="18"/>
        </w:rPr>
      </w:pPr>
      <w:r w:rsidRPr="00F071B1">
        <w:rPr>
          <w:rFonts w:ascii="Verdana" w:hAnsi="Verdana"/>
          <w:bCs/>
          <w:color w:val="000000"/>
          <w:sz w:val="18"/>
          <w:szCs w:val="18"/>
        </w:rPr>
        <w:t>Licencja wielostanowiskowa bezterminowa</w:t>
      </w:r>
    </w:p>
    <w:p w:rsidR="00F071B1" w:rsidRPr="00F071B1" w:rsidRDefault="00F071B1" w:rsidP="00F071B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071B1">
        <w:rPr>
          <w:rFonts w:ascii="Verdana" w:hAnsi="Verdana"/>
          <w:bCs/>
          <w:color w:val="000000"/>
          <w:sz w:val="18"/>
          <w:szCs w:val="18"/>
        </w:rPr>
        <w:t>Oprogramowanie możesz używać na dowolnej liczbie komputerów w obrębie przedsiębiorstwa</w:t>
      </w:r>
      <w:r w:rsidRPr="00F071B1">
        <w:rPr>
          <w:rFonts w:ascii="Verdana" w:hAnsi="Verdana"/>
          <w:color w:val="000000"/>
          <w:sz w:val="18"/>
          <w:szCs w:val="18"/>
        </w:rPr>
        <w:t>.</w:t>
      </w:r>
    </w:p>
    <w:p w:rsidR="00F071B1" w:rsidRPr="00F071B1" w:rsidRDefault="00F071B1" w:rsidP="00F071B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071B1">
        <w:rPr>
          <w:rFonts w:ascii="Verdana" w:hAnsi="Verdana"/>
          <w:bCs/>
          <w:color w:val="000000"/>
          <w:sz w:val="18"/>
          <w:szCs w:val="18"/>
        </w:rPr>
        <w:t>Możliwość przeniesienia danych i użytkowania arkusza na pamięci USB</w:t>
      </w:r>
      <w:r w:rsidRPr="00F071B1">
        <w:rPr>
          <w:rFonts w:ascii="Verdana" w:hAnsi="Verdana"/>
          <w:color w:val="000000"/>
          <w:sz w:val="18"/>
          <w:szCs w:val="18"/>
        </w:rPr>
        <w:t> </w:t>
      </w:r>
    </w:p>
    <w:p w:rsidR="00F071B1" w:rsidRPr="00F071B1" w:rsidRDefault="00F071B1" w:rsidP="00F071B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071B1">
        <w:rPr>
          <w:rFonts w:ascii="Verdana" w:hAnsi="Verdana"/>
          <w:bCs/>
          <w:color w:val="000000"/>
          <w:sz w:val="18"/>
          <w:szCs w:val="18"/>
        </w:rPr>
        <w:t>Błyskawiczne zastosowanie</w:t>
      </w:r>
      <w:r w:rsidRPr="00F071B1">
        <w:rPr>
          <w:rFonts w:ascii="Verdana" w:hAnsi="Verdana"/>
          <w:color w:val="000000"/>
          <w:sz w:val="18"/>
          <w:szCs w:val="18"/>
        </w:rPr>
        <w:t xml:space="preserve"> - otrzymujesz arkusz kalkulacyjny do którego wprowadzisz dane </w:t>
      </w:r>
      <w:r w:rsidRPr="00F071B1">
        <w:rPr>
          <w:rFonts w:ascii="Verdana" w:hAnsi="Verdana"/>
          <w:sz w:val="18"/>
          <w:szCs w:val="18"/>
        </w:rPr>
        <w:t>z </w:t>
      </w:r>
      <w:hyperlink r:id="rId5" w:history="1">
        <w:r w:rsidRPr="00F071B1">
          <w:rPr>
            <w:rStyle w:val="Hipercze"/>
            <w:rFonts w:ascii="Verdana" w:hAnsi="Verdana"/>
            <w:color w:val="auto"/>
            <w:sz w:val="18"/>
            <w:szCs w:val="18"/>
            <w:u w:val="none"/>
          </w:rPr>
          <w:t>bilansu</w:t>
        </w:r>
      </w:hyperlink>
      <w:r w:rsidRPr="00F071B1">
        <w:rPr>
          <w:rFonts w:ascii="Verdana" w:hAnsi="Verdana"/>
          <w:sz w:val="18"/>
          <w:szCs w:val="18"/>
        </w:rPr>
        <w:t> i </w:t>
      </w:r>
      <w:hyperlink r:id="rId6" w:history="1">
        <w:r w:rsidRPr="00F071B1">
          <w:rPr>
            <w:rStyle w:val="Hipercze"/>
            <w:rFonts w:ascii="Verdana" w:hAnsi="Verdana"/>
            <w:color w:val="auto"/>
            <w:sz w:val="18"/>
            <w:szCs w:val="18"/>
            <w:u w:val="none"/>
          </w:rPr>
          <w:t>rachunku wyników</w:t>
        </w:r>
      </w:hyperlink>
      <w:r w:rsidRPr="00F071B1">
        <w:rPr>
          <w:rFonts w:ascii="Verdana" w:hAnsi="Verdana"/>
          <w:sz w:val="18"/>
          <w:szCs w:val="18"/>
        </w:rPr>
        <w:t xml:space="preserve"> oraz </w:t>
      </w:r>
      <w:r w:rsidRPr="00F071B1">
        <w:rPr>
          <w:rFonts w:ascii="Verdana" w:hAnsi="Verdana"/>
          <w:color w:val="000000"/>
          <w:sz w:val="18"/>
          <w:szCs w:val="18"/>
        </w:rPr>
        <w:t>niektóre dodatkowe wartości. Arkusz zawiera wzory, więc sam wyliczy wartości wskaźników!</w:t>
      </w:r>
    </w:p>
    <w:p w:rsidR="00F071B1" w:rsidRPr="00F071B1" w:rsidRDefault="00F071B1" w:rsidP="00F071B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071B1">
        <w:rPr>
          <w:rFonts w:ascii="Verdana" w:hAnsi="Verdana"/>
          <w:bCs/>
          <w:color w:val="000000"/>
          <w:sz w:val="18"/>
          <w:szCs w:val="18"/>
        </w:rPr>
        <w:t>Elastyczność</w:t>
      </w:r>
      <w:r w:rsidRPr="00F071B1">
        <w:rPr>
          <w:rFonts w:ascii="Verdana" w:hAnsi="Verdana"/>
          <w:color w:val="000000"/>
          <w:sz w:val="18"/>
          <w:szCs w:val="18"/>
        </w:rPr>
        <w:t> - opis 134 wskaźników oraz arkusz kalkulacyjny jest w 100% edytowalny – możesz wybrać tylko te wskaźniki, które Cię w danej chwili interesują</w:t>
      </w:r>
    </w:p>
    <w:p w:rsidR="00F071B1" w:rsidRPr="00F071B1" w:rsidRDefault="00F071B1" w:rsidP="00F071B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071B1">
        <w:rPr>
          <w:rFonts w:ascii="Verdana" w:hAnsi="Verdana"/>
          <w:color w:val="000000"/>
          <w:sz w:val="18"/>
          <w:szCs w:val="18"/>
        </w:rPr>
        <w:t>Każdy arkusz kalkulacyjny ma gotowe narzędzia do tworzenia wykresów – wystarczy zaznaczyć komórki z wartościami, które chcemy umieścić na wykresie, określić jego typ i wykres gotowy</w:t>
      </w:r>
    </w:p>
    <w:p w:rsidR="00F071B1" w:rsidRDefault="00F071B1" w:rsidP="002A2D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071B1">
        <w:rPr>
          <w:rFonts w:ascii="Verdana" w:hAnsi="Verdana"/>
          <w:bCs/>
          <w:color w:val="000000"/>
          <w:sz w:val="18"/>
          <w:szCs w:val="18"/>
        </w:rPr>
        <w:t>Otrzymujesz narzędzie</w:t>
      </w:r>
      <w:r w:rsidRPr="00F071B1">
        <w:rPr>
          <w:rFonts w:ascii="Verdana" w:hAnsi="Verdana"/>
          <w:color w:val="000000"/>
          <w:sz w:val="18"/>
          <w:szCs w:val="18"/>
        </w:rPr>
        <w:t> gotowe do pracy , nie musisz tracić czasu na zaznajomienie się z obsługą programu</w:t>
      </w:r>
    </w:p>
    <w:p w:rsidR="00F071B1" w:rsidRPr="00F071B1" w:rsidRDefault="00F071B1" w:rsidP="00F071B1">
      <w:pPr>
        <w:shd w:val="clear" w:color="auto" w:fill="FFFFFF"/>
        <w:spacing w:after="0" w:line="240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BA66C4" w:rsidRPr="002A2DE6" w:rsidRDefault="00BA66C4" w:rsidP="002A2DE6">
      <w:r>
        <w:t xml:space="preserve">Przykładowe oprogramowanie spełniające powyższe wymagania jest program </w:t>
      </w:r>
      <w:r>
        <w:rPr>
          <w:rFonts w:ascii="Verdana" w:hAnsi="Verdana"/>
          <w:b/>
          <w:bCs/>
          <w:color w:val="000000"/>
          <w:sz w:val="18"/>
          <w:szCs w:val="18"/>
        </w:rPr>
        <w:t>Analiza Finansowa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10 minut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</w:p>
    <w:sectPr w:rsidR="00BA66C4" w:rsidRPr="002A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E"/>
    <w:multiLevelType w:val="multilevel"/>
    <w:tmpl w:val="3F423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5ADA"/>
    <w:multiLevelType w:val="multilevel"/>
    <w:tmpl w:val="6A7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F143A"/>
    <w:multiLevelType w:val="hybridMultilevel"/>
    <w:tmpl w:val="2F6E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AE2"/>
    <w:multiLevelType w:val="multilevel"/>
    <w:tmpl w:val="F6FCB1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735D9"/>
    <w:multiLevelType w:val="multilevel"/>
    <w:tmpl w:val="1EC0FA6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C4779"/>
    <w:multiLevelType w:val="multilevel"/>
    <w:tmpl w:val="6A70D9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6080A"/>
    <w:multiLevelType w:val="multilevel"/>
    <w:tmpl w:val="35242CF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30D38"/>
    <w:multiLevelType w:val="multilevel"/>
    <w:tmpl w:val="BB74D1C0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C615F"/>
    <w:multiLevelType w:val="multilevel"/>
    <w:tmpl w:val="A14C638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74E00"/>
    <w:multiLevelType w:val="multilevel"/>
    <w:tmpl w:val="313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530B3"/>
    <w:multiLevelType w:val="multilevel"/>
    <w:tmpl w:val="0548DF2E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B4793"/>
    <w:multiLevelType w:val="multilevel"/>
    <w:tmpl w:val="379E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52534"/>
    <w:multiLevelType w:val="multilevel"/>
    <w:tmpl w:val="F7A2C2A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C006F"/>
    <w:multiLevelType w:val="multilevel"/>
    <w:tmpl w:val="A07063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C7C87"/>
    <w:multiLevelType w:val="multilevel"/>
    <w:tmpl w:val="55EA754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961E8"/>
    <w:multiLevelType w:val="multilevel"/>
    <w:tmpl w:val="A9E64F2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7392C"/>
    <w:multiLevelType w:val="multilevel"/>
    <w:tmpl w:val="3C585B70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6D5D4B"/>
    <w:multiLevelType w:val="multilevel"/>
    <w:tmpl w:val="9328FBA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0"/>
  </w:num>
  <w:num w:numId="15">
    <w:abstractNumId w:val="7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E6"/>
    <w:rsid w:val="002A2DE6"/>
    <w:rsid w:val="00741183"/>
    <w:rsid w:val="008C673A"/>
    <w:rsid w:val="009E3B8B"/>
    <w:rsid w:val="009F3BA9"/>
    <w:rsid w:val="00BA66C4"/>
    <w:rsid w:val="00F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B628"/>
  <w15:chartTrackingRefBased/>
  <w15:docId w15:val="{E5BEA5FE-B160-442F-9189-BD6B5931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DE6"/>
  </w:style>
  <w:style w:type="paragraph" w:styleId="Nagwek2">
    <w:name w:val="heading 2"/>
    <w:basedOn w:val="Normalny"/>
    <w:link w:val="Nagwek2Znak"/>
    <w:uiPriority w:val="9"/>
    <w:qFormat/>
    <w:rsid w:val="009E3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A2DE6"/>
    <w:rPr>
      <w:b/>
      <w:bCs/>
    </w:rPr>
  </w:style>
  <w:style w:type="paragraph" w:styleId="Akapitzlist">
    <w:name w:val="List Paragraph"/>
    <w:basedOn w:val="Normalny"/>
    <w:uiPriority w:val="34"/>
    <w:qFormat/>
    <w:rsid w:val="002A2DE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3B8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E3B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awdzbilans.pl/" TargetMode="External"/><Relationship Id="rId5" Type="http://schemas.openxmlformats.org/officeDocument/2006/relationships/hyperlink" Target="http://sprawdzbila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2</cp:revision>
  <dcterms:created xsi:type="dcterms:W3CDTF">2025-05-30T08:35:00Z</dcterms:created>
  <dcterms:modified xsi:type="dcterms:W3CDTF">2025-05-30T10:41:00Z</dcterms:modified>
</cp:coreProperties>
</file>