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7603E" w:rsidRDefault="006B3CAB" w:rsidP="0067603E">
      <w:pPr>
        <w:pStyle w:val="Nagwek4"/>
        <w:jc w:val="center"/>
      </w:pPr>
      <w:r w:rsidRPr="006B3CAB">
        <w:t>SPECYFIKACJA WARUNKÓW ZAMÓWIENIA (SWZ)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67603E" w:rsidRPr="0067603E" w:rsidRDefault="006B3CAB" w:rsidP="0067603E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  <w:r w:rsidR="0067603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siedzibą </w:t>
      </w:r>
      <w:r w:rsidR="0067603E" w:rsidRPr="00676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72-001 Kołbaskowo, Kołbaskowo 106</w:t>
      </w:r>
    </w:p>
    <w:p w:rsidR="0067603E" w:rsidRPr="00F16DF7" w:rsidRDefault="00F16DF7" w:rsidP="0067603E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16D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imieniu której działa jednostka organizacyjna</w:t>
      </w:r>
    </w:p>
    <w:p w:rsidR="00F16DF7" w:rsidRPr="0067603E" w:rsidRDefault="00F16DF7" w:rsidP="00F16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760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Szkolno-Przedszkolny</w:t>
      </w:r>
      <w:r w:rsidR="002207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siedzibą 72-005 Przecław, Przylep </w:t>
      </w:r>
      <w:r w:rsidR="002207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ul. Rodzinna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</w:t>
      </w:r>
    </w:p>
    <w:p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B3CAB" w:rsidRPr="001F328D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1F328D" w:rsidRDefault="0067603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ZAPRASZA DO ZŁ</w:t>
      </w:r>
      <w:r w:rsidR="006B3CAB"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OŻENIA OFERTY W POSTĘPOWANIU O UDZIELENIE ZAMOWIENIA PUBLICZN</w:t>
      </w:r>
      <w:r w:rsidR="00673B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EGO W TRYBIE PODSTAWOWYM Z FAKUL</w:t>
      </w:r>
      <w:r w:rsidR="006B3CAB"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TATYWNYMI NEGOCJACJAMI </w:t>
      </w:r>
      <w:r w:rsidR="006B3CAB"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ZAMOWIEŃ PUBLICZNYCH, </w:t>
      </w:r>
      <w:r w:rsidR="006B3CAB" w:rsidRPr="001F3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PN.: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1F328D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Hlk66777098"/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r w:rsidR="00B1181B"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</w:t>
      </w:r>
      <w:r w:rsidR="006760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PLACU ZABAW PRZY ZSP W PRZYLEPIE, GMINA KOŁBASKOWO</w:t>
      </w:r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bookmarkEnd w:id="0"/>
    <w:p w:rsidR="006B3CAB" w:rsidRPr="00471721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:rsidR="006B3CAB" w:rsidRPr="006B3CAB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6   </w:t>
      </w:r>
      <w:r w:rsidR="006B3CAB"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specyfikacja techniczna wykonania i odbioru robót</w:t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B3CAB" w:rsidRP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:rsidR="006B3CAB" w:rsidRP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6B3CAB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7603E" w:rsidRPr="006B3CAB" w:rsidRDefault="0067603E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:rsidR="00F16DF7" w:rsidRDefault="00F16DF7" w:rsidP="00F16D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676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siedziby: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Kołbaskowo 106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72-001 Kołbaskowo</w:t>
      </w:r>
    </w:p>
    <w:p w:rsidR="00F16DF7" w:rsidRDefault="00F16DF7" w:rsidP="00F16D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F16D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imieniu której działa jednostka organizacyjna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6B3CAB" w:rsidRPr="006B3CAB" w:rsidRDefault="00F16DF7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7603E" w:rsidRPr="00676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Szkolno-Przedszkolny</w:t>
      </w:r>
      <w:r w:rsidR="00676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adres siedziby</w:t>
      </w:r>
      <w:r w:rsidR="00676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7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72-005 Przecław, Przylep</w:t>
      </w:r>
      <w:r w:rsidR="0067603E" w:rsidRPr="00676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Rodzinna 11</w:t>
      </w:r>
    </w:p>
    <w:p w:rsidR="00F60B1C" w:rsidRPr="00F60B1C" w:rsidRDefault="006B3CAB" w:rsidP="00F60B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60B1C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+48 725-338-335</w:t>
      </w:r>
    </w:p>
    <w:p w:rsidR="006B3CAB" w:rsidRPr="00F60B1C" w:rsidRDefault="00F60B1C" w:rsidP="00F60B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 w:rsidRPr="00F60B1C">
        <w:t xml:space="preserve"> sekretariat@przylep.edu.pl</w:t>
      </w:r>
    </w:p>
    <w:p w:rsidR="006B3CAB" w:rsidRPr="006B3CAB" w:rsidRDefault="006B3CAB" w:rsidP="00E06C6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:rsidR="00471721" w:rsidRPr="00B1181B" w:rsidRDefault="00B1181B" w:rsidP="00D215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udowa </w:t>
      </w:r>
      <w:r w:rsidR="00D21593" w:rsidRPr="00D21593">
        <w:rPr>
          <w:rFonts w:ascii="Times New Roman" w:eastAsia="Times New Roman" w:hAnsi="Times New Roman" w:cs="Times New Roman"/>
          <w:b/>
          <w:szCs w:val="24"/>
          <w:lang w:eastAsia="zh-CN"/>
        </w:rPr>
        <w:t xml:space="preserve">placu </w:t>
      </w:r>
      <w:r w:rsidR="00D21593">
        <w:rPr>
          <w:rFonts w:ascii="Times New Roman" w:eastAsia="Times New Roman" w:hAnsi="Times New Roman" w:cs="Times New Roman"/>
          <w:b/>
          <w:szCs w:val="24"/>
          <w:lang w:eastAsia="zh-CN"/>
        </w:rPr>
        <w:t>zabaw przy ZSP w Przylepie, gmina Kołbaskowo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91A61" w:rsidRPr="00834530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>mówień publicznych (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t.j. Dz.U. 2021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r,. poz. 1129</w:t>
      </w:r>
      <w:r w:rsidRPr="00834530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:rsidR="006B3CAB" w:rsidRPr="006B3CAB" w:rsidRDefault="006B3CAB" w:rsidP="00D21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trybie podstawowym z możliwością prowadzenia negocjacji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art. 275 pkt 2) ustawy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0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zastrzega obowiązku osobistego wykonania przez Wykonawcę kluczowych zadań.</w:t>
      </w:r>
    </w:p>
    <w:p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:rsidR="00B1181B" w:rsidRPr="00B1181B" w:rsidRDefault="00B1181B" w:rsidP="00B1181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462126" w:rsidRPr="00B11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dokumentacja </w:t>
      </w:r>
      <w:r w:rsidRPr="00B1181B">
        <w:rPr>
          <w:rFonts w:ascii="Times New Roman" w:hAnsi="Times New Roman" w:cs="Times New Roman"/>
          <w:sz w:val="24"/>
        </w:rPr>
        <w:t xml:space="preserve">projektowa, specyfikacja techniczna  wykonany i  odbioru robót budowlanych  opracowana przez Pracownię </w:t>
      </w:r>
      <w:r w:rsidR="00D21593">
        <w:rPr>
          <w:rFonts w:ascii="Times New Roman" w:hAnsi="Times New Roman" w:cs="Times New Roman"/>
          <w:sz w:val="24"/>
        </w:rPr>
        <w:t>Architektoniczną 4Q Dekton</w:t>
      </w:r>
      <w:r w:rsidRPr="00B1181B">
        <w:rPr>
          <w:rFonts w:ascii="Times New Roman" w:hAnsi="Times New Roman" w:cs="Times New Roman"/>
          <w:sz w:val="24"/>
        </w:rPr>
        <w:t xml:space="preserve">, ul. </w:t>
      </w:r>
      <w:r w:rsidR="00D21593">
        <w:rPr>
          <w:rFonts w:ascii="Times New Roman" w:hAnsi="Times New Roman" w:cs="Times New Roman"/>
          <w:sz w:val="24"/>
        </w:rPr>
        <w:t xml:space="preserve">Królewicza Kazimierza 2i/3, </w:t>
      </w:r>
      <w:r w:rsidR="00D21593">
        <w:rPr>
          <w:rFonts w:ascii="Times New Roman" w:hAnsi="Times New Roman" w:cs="Times New Roman"/>
          <w:sz w:val="24"/>
        </w:rPr>
        <w:br/>
        <w:t>71-552</w:t>
      </w:r>
      <w:r w:rsidRPr="00B1181B">
        <w:rPr>
          <w:rFonts w:ascii="Times New Roman" w:hAnsi="Times New Roman" w:cs="Times New Roman"/>
          <w:sz w:val="24"/>
        </w:rPr>
        <w:t xml:space="preserve"> Szczecin.</w:t>
      </w:r>
    </w:p>
    <w:p w:rsidR="00B1181B" w:rsidRPr="00D10A97" w:rsidRDefault="00B1181B" w:rsidP="00B1181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D10A97">
        <w:rPr>
          <w:rFonts w:ascii="Times New Roman" w:hAnsi="Times New Roman" w:cs="Times New Roman"/>
          <w:sz w:val="24"/>
        </w:rPr>
        <w:t xml:space="preserve">- </w:t>
      </w:r>
      <w:r w:rsidR="000C5B66" w:rsidRPr="00D10A97">
        <w:rPr>
          <w:rFonts w:ascii="Times New Roman" w:hAnsi="Times New Roman" w:cs="Times New Roman"/>
          <w:sz w:val="24"/>
        </w:rPr>
        <w:t>Zgłoszenia</w:t>
      </w:r>
      <w:r w:rsidR="00D10A97" w:rsidRPr="00D10A97">
        <w:rPr>
          <w:rFonts w:ascii="Times New Roman" w:hAnsi="Times New Roman" w:cs="Times New Roman"/>
          <w:sz w:val="24"/>
        </w:rPr>
        <w:t xml:space="preserve"> na wykonanie robót budowlanych nie wy</w:t>
      </w:r>
      <w:bookmarkStart w:id="1" w:name="_Hlk47507707"/>
      <w:r w:rsidR="003B003B">
        <w:rPr>
          <w:rFonts w:ascii="Times New Roman" w:hAnsi="Times New Roman" w:cs="Times New Roman"/>
          <w:sz w:val="24"/>
        </w:rPr>
        <w:t>magających pozwolenia na budowę</w:t>
      </w:r>
      <w:r w:rsidR="000C5B66" w:rsidRPr="00D10A97">
        <w:rPr>
          <w:rFonts w:ascii="Times New Roman" w:hAnsi="Times New Roman" w:cs="Times New Roman"/>
          <w:sz w:val="24"/>
        </w:rPr>
        <w:t xml:space="preserve"> </w:t>
      </w:r>
      <w:r w:rsidR="003B003B">
        <w:rPr>
          <w:rFonts w:ascii="Times New Roman" w:hAnsi="Times New Roman" w:cs="Times New Roman"/>
          <w:sz w:val="24"/>
        </w:rPr>
        <w:t xml:space="preserve">z nie wniesieniem sprzeciwu </w:t>
      </w:r>
      <w:r w:rsidR="00D10A97" w:rsidRPr="00D10A97">
        <w:rPr>
          <w:rFonts w:ascii="Times New Roman" w:hAnsi="Times New Roman" w:cs="Times New Roman"/>
          <w:sz w:val="24"/>
        </w:rPr>
        <w:t xml:space="preserve">przez Starostę </w:t>
      </w:r>
      <w:bookmarkEnd w:id="1"/>
      <w:r w:rsidR="003B003B">
        <w:rPr>
          <w:rFonts w:ascii="Times New Roman" w:hAnsi="Times New Roman" w:cs="Times New Roman"/>
          <w:sz w:val="24"/>
        </w:rPr>
        <w:t>Polickiego, sygn. akt AB.6743.50.K 2021.JZ z dnia 10.06.2021 r.</w:t>
      </w:r>
    </w:p>
    <w:p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:rsidR="006B3CAB" w:rsidRPr="006B3CAB" w:rsidRDefault="006B3CAB" w:rsidP="00A709DD">
      <w:pPr>
        <w:tabs>
          <w:tab w:val="left" w:pos="284"/>
        </w:tabs>
        <w:autoSpaceDE w:val="0"/>
        <w:autoSpaceDN w:val="0"/>
        <w:adjustRightInd w:val="0"/>
        <w:spacing w:before="2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późn.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:rsid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Nexus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1" w:history="1">
        <w:r w:rsidRPr="006B3CAB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</w:p>
    <w:p w:rsidR="00E64A5D" w:rsidRDefault="00E64A5D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:rsidR="00E64A5D" w:rsidRPr="006B3CAB" w:rsidRDefault="00E64A5D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2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:rsidR="006B3CAB" w:rsidRPr="00F60B1C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8A3412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Wierzbicka</w:t>
      </w:r>
      <w:r w:rsidR="00F60B1C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+48 725-338-335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="00A709DD" w:rsidRPr="001F34FD">
          <w:rPr>
            <w:rStyle w:val="Hipercze"/>
            <w:rFonts w:ascii="Times New Roman" w:hAnsi="Times New Roman" w:cs="Times New Roman"/>
            <w:sz w:val="24"/>
            <w:szCs w:val="24"/>
          </w:rPr>
          <w:t>sekretariat@przylep.edu.pl</w:t>
        </w:r>
      </w:hyperlink>
      <w:r w:rsidR="00A709DD">
        <w:rPr>
          <w:rFonts w:ascii="Times New Roman" w:hAnsi="Times New Roman" w:cs="Times New Roman"/>
          <w:sz w:val="24"/>
          <w:szCs w:val="24"/>
        </w:rPr>
        <w:t xml:space="preserve"> 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:rsidR="006B3CAB" w:rsidRPr="006B3CAB" w:rsidRDefault="00891A61" w:rsidP="0081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4" w:history="1">
        <w:r w:rsidR="00811F5E" w:rsidRPr="00A2060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sokolowska@kolbaskowo.pl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11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1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przetargowej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1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1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formularza „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 wiadomość do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1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kliknięcie przycisku  „Wyślij wiadomość do zamawiającego” po których pojawi się komunikat, że wiadomość została wysłana do zamawiającego.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konkretnego wykonawcy.</w:t>
      </w:r>
    </w:p>
    <w:p w:rsidR="006B3CAB" w:rsidRPr="006B3CAB" w:rsidRDefault="006B3CAB" w:rsidP="00AA5569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3CAB" w:rsidRPr="006B3CAB" w:rsidRDefault="006B3CAB" w:rsidP="00AA5569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:rsidR="006B3CAB" w:rsidRPr="006B3CAB" w:rsidRDefault="006B3CAB" w:rsidP="00AA5569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dostęp do sieci Internet o gwarantowanej przepustowości nie mniejszej niż 512 kb/s,</w:t>
      </w:r>
    </w:p>
    <w:p w:rsidR="006B3CAB" w:rsidRPr="006B3CAB" w:rsidRDefault="006B3CAB" w:rsidP="00AA5569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6B3CAB" w:rsidRPr="006B3CAB" w:rsidRDefault="006B3CAB" w:rsidP="00AA5569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 obsługa JavaScript,</w:t>
      </w:r>
    </w:p>
    <w:p w:rsidR="006B3CAB" w:rsidRPr="006B3CAB" w:rsidRDefault="006B3CAB" w:rsidP="00AA5569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zainstalowany program Adobe Acrobat Reader lub inny obsługujący format plików .pdf,</w:t>
      </w:r>
    </w:p>
    <w:p w:rsidR="006B3CAB" w:rsidRPr="006B3CAB" w:rsidRDefault="006B3CAB" w:rsidP="00AA5569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:rsidR="006B3CAB" w:rsidRPr="006B3CAB" w:rsidRDefault="006B3CAB" w:rsidP="00AA5569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6B3CAB" w:rsidRPr="006B3CAB" w:rsidRDefault="006B3CAB" w:rsidP="00AA5569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:rsidR="006B3CAB" w:rsidRPr="006B3CAB" w:rsidRDefault="006B3CAB" w:rsidP="00AA5569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6B3CAB" w:rsidRPr="006B3CAB" w:rsidRDefault="006B3CAB" w:rsidP="00AA5569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pod</w:t>
        </w:r>
      </w:hyperlink>
      <w:hyperlink r:id="rId3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</w:t>
        </w:r>
      </w:hyperlink>
      <w:hyperlink r:id="rId3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AA5569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6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7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0F070E" w:rsidRDefault="006B3CAB" w:rsidP="00AA5569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h.21eeoojwb3nb"/>
      <w:bookmarkEnd w:id="2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 powinna być:</w:t>
      </w:r>
    </w:p>
    <w:p w:rsidR="006B3CAB" w:rsidRPr="006B3CAB" w:rsidRDefault="006B3CAB" w:rsidP="00AA5569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:rsidR="006B3CAB" w:rsidRPr="006B3CAB" w:rsidRDefault="006B3CAB" w:rsidP="00AA5569">
      <w:pPr>
        <w:numPr>
          <w:ilvl w:val="1"/>
          <w:numId w:val="31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6B3CAB" w:rsidRPr="006B3CAB" w:rsidRDefault="006B3CAB" w:rsidP="00AA5569">
      <w:pPr>
        <w:numPr>
          <w:ilvl w:val="1"/>
          <w:numId w:val="3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wykorzystania formatu podpisu XAdES zewnętrzny Zamawiający wymaga dołączenia odpowiedniej ilości plików tj. podpisywanych plików z danymi oraz plików XAdES.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:rsidR="006B3CAB" w:rsidRPr="006B3CAB" w:rsidRDefault="006B3CAB" w:rsidP="00AA5569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Maksymalny rozmiar jednego pliku przesyłanego za pośrednictwem dedykowanych formularzy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rekomenduje wykorzystanie formatów: .pdf .doc .docx .xls .xlsx .jpg (.jpeg)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 rekomenduje wykorzystanie formatu z jednym z rozszerzeń:</w:t>
      </w:r>
    </w:p>
    <w:p w:rsidR="006B3CAB" w:rsidRPr="006B3CAB" w:rsidRDefault="006B3CAB" w:rsidP="00AA5569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:rsidR="006B3CAB" w:rsidRPr="006B3CAB" w:rsidRDefault="006B3CAB" w:rsidP="00AA5569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.rar .gif .bmp .numbers .pages.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eDoApp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:rsidR="006B3CAB" w:rsidRPr="006B3CAB" w:rsidRDefault="006B3CAB" w:rsidP="00AA5569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PAdES. </w:t>
      </w:r>
    </w:p>
    <w:p w:rsidR="006B3CAB" w:rsidRPr="006B3CAB" w:rsidRDefault="006B3CAB" w:rsidP="00AA5569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zaleca się opatrzyć podpisem w formacie XAdES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:rsidR="006B3CAB" w:rsidRPr="006B3CAB" w:rsidRDefault="006B3CAB" w:rsidP="00AA5569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Sugerujemy złożenie oferty na 24 godziny przed terminem składania ofert. 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6B3CAB" w:rsidRPr="006B3CAB" w:rsidRDefault="006B3CAB" w:rsidP="00AA5569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:rsidR="00D10A97" w:rsidRPr="006B3CAB" w:rsidRDefault="00D10A97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34530" w:rsidRPr="00F463AC" w:rsidRDefault="006B3CAB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:rsidR="006B3CAB" w:rsidRP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art.108 ust. 1 ustawy,</w:t>
      </w:r>
    </w:p>
    <w:p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:rsidR="00F463AC" w:rsidRDefault="006B3CAB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7D3B55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ekonomiczno-finansowej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D3B55" w:rsidRPr="00D10A97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:rsidR="006B3CAB" w:rsidRPr="00C06DC5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budowie lub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przebudowie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placu zabaw 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D10A97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463AC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6B3CAB" w:rsidRPr="00C06DC5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:rsidR="00205E35" w:rsidRPr="00C06DC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:rsidR="00205E35" w:rsidRPr="00C06DC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C06DC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C06DC5"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ab/>
        <w:t>posiadającą:</w:t>
      </w:r>
    </w:p>
    <w:p w:rsidR="00205E35" w:rsidRPr="00C06DC5" w:rsidRDefault="00205E35" w:rsidP="00205E35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 budowlane do kierowania robotami budowlanymi</w:t>
      </w:r>
      <w:bookmarkStart w:id="3" w:name="_Hlk492540094"/>
      <w:r w:rsidRPr="00C06DC5">
        <w:rPr>
          <w:rFonts w:ascii="Times New Roman" w:hAnsi="Times New Roman" w:cs="Times New Roman"/>
          <w:sz w:val="24"/>
          <w:szCs w:val="24"/>
        </w:rPr>
        <w:t xml:space="preserve">  w specjalności </w:t>
      </w:r>
      <w:bookmarkEnd w:id="3"/>
    </w:p>
    <w:p w:rsidR="00205E35" w:rsidRPr="00C06DC5" w:rsidRDefault="007D3B55" w:rsidP="00205E35">
      <w:pPr>
        <w:tabs>
          <w:tab w:val="left" w:pos="1080"/>
        </w:tabs>
        <w:spacing w:after="0"/>
        <w:ind w:left="1134" w:right="98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</w:rPr>
        <w:lastRenderedPageBreak/>
        <w:tab/>
        <w:t>konstrukcyjno-budowlanej</w:t>
      </w:r>
    </w:p>
    <w:p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:rsidR="006B3CAB" w:rsidRPr="006B3CAB" w:rsidRDefault="006B3CAB" w:rsidP="00AA556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łączne spełnianie warunku przez Wykonawców.</w:t>
      </w:r>
    </w:p>
    <w:p w:rsidR="006B3CAB" w:rsidRPr="00EB72A1" w:rsidRDefault="006B3CAB" w:rsidP="00AA5569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>ów dowod</w:t>
      </w:r>
      <w:r w:rsidR="00D17617">
        <w:rPr>
          <w:rFonts w:ascii="Times New Roman" w:eastAsia="Trebuchet MS" w:hAnsi="Times New Roman" w:cs="Times New Roman"/>
          <w:sz w:val="24"/>
          <w:szCs w:val="24"/>
          <w:lang w:eastAsia="pl-PL"/>
        </w:rPr>
        <w:t>owych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Podmiotowe </w:t>
      </w:r>
      <w:r w:rsidR="00AA442E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i przedmiotowe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środki dowodowe wymagane od wykonawcy obejmują: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tej samej grupy kapitałowej.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:rsidR="006B3CAB" w:rsidRPr="006B3CAB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:rsidR="00A01E66" w:rsidRPr="00D17617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C06DC5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C06DC5">
        <w:rPr>
          <w:rFonts w:ascii="Times New Roman" w:hAnsi="Times New Roman" w:cs="Times New Roman"/>
          <w:sz w:val="24"/>
          <w:szCs w:val="24"/>
        </w:rPr>
        <w:t>zgodny z rozdziałem XVII ust. 3 s</w:t>
      </w:r>
      <w:r w:rsidR="007A0071" w:rsidRPr="00C06DC5">
        <w:rPr>
          <w:rFonts w:ascii="Times New Roman" w:hAnsi="Times New Roman" w:cs="Times New Roman"/>
          <w:sz w:val="24"/>
          <w:szCs w:val="24"/>
        </w:rPr>
        <w:t>wz</w:t>
      </w:r>
      <w:r w:rsidR="00D82F67" w:rsidRPr="00C06DC5">
        <w:rPr>
          <w:rFonts w:ascii="Times New Roman" w:hAnsi="Times New Roman" w:cs="Times New Roman"/>
          <w:sz w:val="24"/>
          <w:szCs w:val="24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 zakresie nieuregulowanym ustawą Pzp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:rsid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A709DD" w:rsidRDefault="00A709DD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A709DD" w:rsidRPr="006B3CAB" w:rsidRDefault="00A709DD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XII – Wykaz dokumentów składanych razem z ofertą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:rsidR="00834530" w:rsidRDefault="006B3CAB" w:rsidP="00834530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  <w:r w:rsidR="00AA4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4530" w:rsidRPr="00AA442E" w:rsidRDefault="00834530" w:rsidP="00834530">
      <w:pPr>
        <w:spacing w:after="0" w:line="252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651B7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opis produktu urządzeń wraz z zaświadczeniem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produkty odpowiadają określonym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normom, posiadają certyfikaty oraz minimum trzyletnią gwarancję zgodnym z rozdziałem XXIV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ust. 3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:rsidR="00D17617" w:rsidRPr="006B3CAB" w:rsidRDefault="00D17617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:rsidR="006B3CAB" w:rsidRPr="006B3CAB" w:rsidRDefault="006B3CAB" w:rsidP="00AA5569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:rsidR="006B3CAB" w:rsidRPr="006B3CAB" w:rsidRDefault="006B3CAB" w:rsidP="00AA5569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:rsid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A709DD" w:rsidRDefault="00A709DD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A709DD" w:rsidRPr="006B3CAB" w:rsidRDefault="00A709DD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XIV - Termin wykonania zamówienia, miejsce, gwarancja i rękojmia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dłuższy niż </w:t>
      </w:r>
      <w:r w:rsidR="0008231D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04AD8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ia umowy, ale nie krótszy niż 3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Wykonawca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B3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formularzu oferty powinien podać termin realizacji określony w 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Termin realizacji zamówienia stanowi jedno z kryteriów oceny ofert.</w:t>
      </w:r>
    </w:p>
    <w:p w:rsidR="006B3CAB" w:rsidRPr="00A523C4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Wymagany przez zamawiającego 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82F67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:rsidR="0008231D" w:rsidRPr="00A523C4" w:rsidRDefault="00A523C4" w:rsidP="0008231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BFD" w:rsidRPr="00A523C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A523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</w:t>
      </w:r>
      <w:r w:rsidR="006B3CAB" w:rsidRPr="007D3B55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3F7BFD" w:rsidRPr="007D3B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504AD8" w:rsidRPr="007D3B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D3B55">
        <w:rPr>
          <w:rFonts w:ascii="Times New Roman" w:hAnsi="Times New Roman" w:cs="Times New Roman"/>
          <w:sz w:val="24"/>
        </w:rPr>
        <w:t>działka Nr ew. gr. 1/92</w:t>
      </w:r>
      <w:r w:rsidR="0008231D" w:rsidRPr="007D3B55">
        <w:rPr>
          <w:rFonts w:ascii="Times New Roman" w:hAnsi="Times New Roman" w:cs="Times New Roman"/>
          <w:sz w:val="24"/>
        </w:rPr>
        <w:t xml:space="preserve">  obręb  </w:t>
      </w:r>
      <w:r w:rsidRPr="007D3B55">
        <w:rPr>
          <w:rFonts w:ascii="Times New Roman" w:hAnsi="Times New Roman" w:cs="Times New Roman"/>
          <w:sz w:val="24"/>
        </w:rPr>
        <w:t>Przylep.</w:t>
      </w:r>
    </w:p>
    <w:p w:rsidR="00A523C4" w:rsidRPr="00A523C4" w:rsidRDefault="00A523C4" w:rsidP="00A523C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0DD3" w:rsidRPr="006B3CAB" w:rsidRDefault="00ED0DD3" w:rsidP="00ED0DD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wnoszenia wadium.</w:t>
      </w:r>
    </w:p>
    <w:p w:rsidR="006B3CAB" w:rsidRPr="006B3CAB" w:rsidRDefault="006B3CAB" w:rsidP="00ED0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:rsidR="006B3CAB" w:rsidRPr="005C1C0F" w:rsidRDefault="006B3CAB" w:rsidP="00AA556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555B" w:rsidRPr="0014547A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STWiOR, przedmiaru robót i wzoru </w:t>
      </w:r>
      <w:r w:rsidRPr="007A0071">
        <w:rPr>
          <w:rFonts w:ascii="Times New Roman" w:eastAsia="Times New Roman" w:hAnsi="Times New Roman" w:cs="Times New Roman"/>
          <w:sz w:val="24"/>
          <w:szCs w:val="24"/>
        </w:rPr>
        <w:t>umowy (załącznik nr 5).</w:t>
      </w:r>
    </w:p>
    <w:p w:rsidR="007F28EE" w:rsidRPr="00BA4106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lastRenderedPageBreak/>
        <w:t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7D3B55">
        <w:rPr>
          <w:rFonts w:ascii="Times New Roman" w:hAnsi="Times New Roman" w:cs="Times New Roman"/>
          <w:sz w:val="24"/>
        </w:rPr>
        <w:t>● Pełnej obsługi geodezyjnej, wraz ze sporządzeniem inwentaryzacji geodezyjnej powykonawczej ,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7D3B55">
        <w:rPr>
          <w:rFonts w:ascii="Times New Roman" w:hAnsi="Times New Roman" w:cs="Times New Roman"/>
          <w:sz w:val="24"/>
        </w:rPr>
        <w:t>● Wykonania pełnej dokumentacji powykonawczej,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7D3B55">
        <w:rPr>
          <w:rFonts w:ascii="Times New Roman" w:hAnsi="Times New Roman" w:cs="Times New Roman"/>
          <w:sz w:val="24"/>
        </w:rPr>
        <w:t>● Organizacji i likwidacji zaplecza i placu budowy,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7D3B55">
        <w:rPr>
          <w:rFonts w:ascii="Times New Roman" w:hAnsi="Times New Roman" w:cs="Times New Roman"/>
          <w:sz w:val="24"/>
        </w:rPr>
        <w:t>● Prób, sprawdzeń i badań laboratoryjnych przewidzianych warunkami technicznymi wykonania i odbioru robót budowlano-montażowych,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sz w:val="24"/>
        </w:rPr>
        <w:t>● Ochrony mienia, warunki bezpieczeństwa na placu budowy i p.poż.,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sz w:val="24"/>
        </w:rPr>
        <w:t xml:space="preserve">● Utylizacji i zagospodarowanie odpadów, wykonawca jest wytwórcą odpadów w rozumieniu ustawy o odpadach z dnia 27 kwietnia 2001r. z późniejszymi zmianami, 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sz w:val="24"/>
        </w:rPr>
        <w:t>● Zasilania zaplecza budowy w  niezbędne media,</w:t>
      </w:r>
    </w:p>
    <w:p w:rsidR="00BA4106" w:rsidRPr="007D3B55" w:rsidRDefault="00BA4106" w:rsidP="00BA410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7D3B55">
        <w:rPr>
          <w:rFonts w:ascii="Times New Roman" w:hAnsi="Times New Roman" w:cs="Times New Roman"/>
          <w:sz w:val="24"/>
        </w:rPr>
        <w:t>● Inne wynikające z dokumentacji projektowej i specyfikacji technicznej wykonania i odbioru robót budowlanych,</w:t>
      </w:r>
    </w:p>
    <w:p w:rsidR="00BA4106" w:rsidRPr="007D3B55" w:rsidRDefault="00BA4106" w:rsidP="00BA4106">
      <w:pPr>
        <w:tabs>
          <w:tab w:val="num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b/>
          <w:sz w:val="24"/>
        </w:rPr>
        <w:tab/>
        <w:t xml:space="preserve">● </w:t>
      </w:r>
      <w:r w:rsidRPr="007D3B55">
        <w:rPr>
          <w:rFonts w:ascii="Times New Roman" w:hAnsi="Times New Roman" w:cs="Times New Roman"/>
          <w:sz w:val="24"/>
        </w:rPr>
        <w:t>podatków i opłat związanych z wykonaniem zadania.</w:t>
      </w:r>
    </w:p>
    <w:p w:rsidR="007F28EE" w:rsidRPr="007F28EE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:rsidR="00F16DF7" w:rsidRPr="00A709DD" w:rsidRDefault="0053555B" w:rsidP="00F16D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Pzp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B3CAB" w:rsidRPr="00FA2F53" w:rsidRDefault="006B3CAB" w:rsidP="00AA5569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A2F53" w:rsidRPr="00FA2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507D68"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  <w:r w:rsidRPr="00FA2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</w:t>
      </w:r>
      <w:r w:rsidR="001809B1"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:rsidR="006B3CAB" w:rsidRPr="006B3CAB" w:rsidRDefault="006B3CAB" w:rsidP="00AA5569">
      <w:pPr>
        <w:numPr>
          <w:ilvl w:val="1"/>
          <w:numId w:val="20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4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B3CAB" w:rsidRPr="006B3CAB" w:rsidRDefault="006B3CAB" w:rsidP="00AA5569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FA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507D68"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</w:t>
      </w:r>
      <w:r w:rsidR="008E6024"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A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FA2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:rsidR="006B3CAB" w:rsidRPr="006B3CAB" w:rsidRDefault="006B3CAB" w:rsidP="00AA5569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:rsidR="006B3CAB" w:rsidRPr="006B3CAB" w:rsidRDefault="006B3CAB" w:rsidP="00AA5569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:rsidR="006B3CAB" w:rsidRPr="006B3CAB" w:rsidRDefault="006B3CAB" w:rsidP="00AA5569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:rsidR="006B3CAB" w:rsidRPr="006B3CAB" w:rsidRDefault="006B3CAB" w:rsidP="00AA5569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:rsidR="0014547A" w:rsidRDefault="006B3CAB" w:rsidP="00AA5569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:rsidR="006B3CAB" w:rsidRPr="001809B1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 w:rsidRPr="00A4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A2F53" w:rsidRPr="00A4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507D68" w:rsidRPr="00A4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</w:t>
      </w:r>
      <w:r w:rsidRPr="00A4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 r.</w:t>
      </w:r>
      <w:r w:rsidRPr="00180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ofert: 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cena – 60%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termin realizacji zamówienia – 20 %</w:t>
      </w:r>
    </w:p>
    <w:p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----------------------------------------------------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7D3B55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Maksymalny termin realizacji zamówienia 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wynosi </w:t>
      </w:r>
      <w:r w:rsidR="006E00ED"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7D8A"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>miesięcy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 kalendarzowych od dnia podpisania umowy. 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realizacji krótszy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niż 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miesią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 kalendarzowych od dnia podpisania umowy, do oceny ofert w kryterium „termin realizacji” zostanie przyjęty termin 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, czyli minimalny zgodny z możliwościami i żądaniem zamawiającego zawartym w siwz. </w:t>
      </w:r>
    </w:p>
    <w:p w:rsidR="006B3CAB" w:rsidRPr="007D3B55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od dnia podpisania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do oceny ofert w kryterium 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czyli maksymalny zgodny z możliwościami i żądaniem zamawiającego zawartym w siwz.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Komisja przetargowa oceni oferty sumując punkty uzyskane z poszczególnych kryteriów: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S = C + T + G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:rsidR="006B3CAB" w:rsidRPr="006B3CAB" w:rsidRDefault="006B3CAB" w:rsidP="00AA55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AA5569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6B3CAB" w:rsidRPr="006B3CAB" w:rsidRDefault="006B3CAB" w:rsidP="00AA5569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6B3CAB" w:rsidRPr="006B3CAB" w:rsidRDefault="006B3CAB" w:rsidP="00AA5569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6B3CAB" w:rsidRPr="006B3CAB" w:rsidRDefault="006B3CAB" w:rsidP="00AA5569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6B3CAB" w:rsidRPr="006B3CAB" w:rsidRDefault="006B3CAB" w:rsidP="00AA5569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 następujących terminach:</w:t>
      </w:r>
    </w:p>
    <w:p w:rsidR="006B3CAB" w:rsidRPr="006B3CAB" w:rsidRDefault="006B3CAB" w:rsidP="00AA5569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6B3CAB" w:rsidRPr="006B3CAB" w:rsidRDefault="006B3CAB" w:rsidP="00AA5569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:rsidR="006B3CAB" w:rsidRPr="00A43DE5" w:rsidRDefault="006B3CAB" w:rsidP="00A43DE5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wnoszone w pieniądzu powinno zostać wpłacone przelewem na rachunek bankowy zamawiającego numer rachunku</w:t>
      </w:r>
      <w:r w:rsid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E5" w:rsidRPr="00A43DE5">
        <w:rPr>
          <w:rFonts w:ascii="Times New Roman" w:hAnsi="Times New Roman" w:cs="Times New Roman"/>
          <w:sz w:val="24"/>
          <w:szCs w:val="24"/>
        </w:rPr>
        <w:t>ZSP Przylep</w:t>
      </w:r>
      <w:r w:rsid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DE5" w:rsidRPr="00A43DE5">
        <w:rPr>
          <w:rFonts w:ascii="Times New Roman" w:hAnsi="Times New Roman" w:cs="Times New Roman"/>
          <w:sz w:val="24"/>
          <w:szCs w:val="24"/>
        </w:rPr>
        <w:t>62 1240 6292 1111 0011 0781 6307</w:t>
      </w:r>
      <w:r w:rsidR="00A43DE5" w:rsidRPr="00A43DE5">
        <w:rPr>
          <w:sz w:val="28"/>
          <w:szCs w:val="28"/>
        </w:rPr>
        <w:t xml:space="preserve"> </w:t>
      </w:r>
      <w:r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przelewu</w:t>
      </w:r>
      <w:r w:rsidR="00CE6499"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3D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zabezpieczenie należytego wykonania umowy dot. zadania inwestycyjnego pn.:</w:t>
      </w:r>
      <w:r w:rsidR="006E00ED"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D68" w:rsidRPr="00A43DE5">
        <w:rPr>
          <w:rFonts w:ascii="Times New Roman" w:hAnsi="Times New Roman" w:cs="Times New Roman"/>
          <w:b/>
          <w:sz w:val="24"/>
          <w:szCs w:val="24"/>
        </w:rPr>
        <w:t>Budowa placu zabaw przy ZSP w Przylepie, gmina Kołbaskowo</w:t>
      </w:r>
      <w:r w:rsidRPr="00A43D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4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wnoszone w formie innej niż w pieniądzu powinno być dostarczone w formie oryginału, przez wykonawcę do siedziby zamawiającego, najpóźniej w dniu podpisania umowy – do chwili jej podpisania.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:rsidR="006B3CAB" w:rsidRPr="006B3CAB" w:rsidRDefault="006B3CAB" w:rsidP="00AA5569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:rsidR="006B3CAB" w:rsidRPr="006B3CAB" w:rsidRDefault="006B3CAB" w:rsidP="00AA5569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6B3CAB" w:rsidRPr="006B3CAB" w:rsidRDefault="006B3CAB" w:rsidP="00AA5569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:rsidR="006B3CAB" w:rsidRPr="006B3CAB" w:rsidRDefault="006B3CAB" w:rsidP="00AA5569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gwarancji lub poręczenia,</w:t>
      </w:r>
    </w:p>
    <w:p w:rsidR="006B3CAB" w:rsidRPr="006B3CAB" w:rsidRDefault="006B3CAB" w:rsidP="00AA5569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6B3CAB" w:rsidRPr="006B3CAB" w:rsidRDefault="006B3CAB" w:rsidP="00AA5569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6B3CAB" w:rsidRPr="006B3CAB" w:rsidRDefault="006B3CAB" w:rsidP="00AA5569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przepisów ustawy Pzp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11. Tryb postępowania odwoławczego  oraz postępowania skargowego przed sądem zamówień    publicznych jest uregulowany w Dziale IX środki ochrony prawnej ustawy Pzp.</w:t>
      </w:r>
    </w:p>
    <w:p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:rsidR="00AB0D90" w:rsidRPr="00A523C4" w:rsidRDefault="00AB0D90" w:rsidP="00A523C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A523C4" w:rsidRPr="00A523C4" w:rsidRDefault="00A523C4" w:rsidP="00AA5569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>
        <w:rPr>
          <w:rFonts w:ascii="Times New Roman" w:hAnsi="Times New Roman"/>
          <w:sz w:val="24"/>
          <w:szCs w:val="24"/>
        </w:rPr>
        <w:t>pn.:</w:t>
      </w:r>
    </w:p>
    <w:p w:rsidR="00A523C4" w:rsidRDefault="00AB0D90" w:rsidP="00AE7A69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4">
        <w:rPr>
          <w:rFonts w:ascii="Times New Roman" w:hAnsi="Times New Roman" w:cs="Times New Roman"/>
          <w:b/>
          <w:sz w:val="24"/>
          <w:szCs w:val="24"/>
        </w:rPr>
        <w:t>„</w:t>
      </w:r>
      <w:r w:rsidRPr="00AB0D90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A523C4">
        <w:rPr>
          <w:rFonts w:ascii="Times New Roman" w:hAnsi="Times New Roman" w:cs="Times New Roman"/>
          <w:b/>
          <w:sz w:val="24"/>
          <w:szCs w:val="24"/>
        </w:rPr>
        <w:t>placu zabaw przy ZSP w Przylepie, gmina Kołbaskowo”</w:t>
      </w:r>
    </w:p>
    <w:p w:rsidR="00AB0D90" w:rsidRDefault="00A523C4" w:rsidP="00AE7A6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  <w:r w:rsidR="00B7431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703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723-9 Roboty w zakresie kształtowania placów zabaw</w:t>
      </w:r>
    </w:p>
    <w:p w:rsidR="00170306" w:rsidRDefault="00170306" w:rsidP="00AE7A6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45220000-5 Roboty inżynieryjne i budowlane</w:t>
      </w:r>
    </w:p>
    <w:p w:rsidR="00170306" w:rsidRPr="00AE7A69" w:rsidRDefault="00170306" w:rsidP="00AE7A69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45223000-6 Konstrukcje</w:t>
      </w:r>
    </w:p>
    <w:p w:rsid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170306" w:rsidRDefault="00170306" w:rsidP="00AA5569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robót ziemnych</w:t>
      </w:r>
    </w:p>
    <w:p w:rsidR="00170306" w:rsidRDefault="00170306" w:rsidP="00AA5569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nawierzchni z piasku</w:t>
      </w:r>
    </w:p>
    <w:p w:rsidR="00170306" w:rsidRDefault="00170306" w:rsidP="00AA5569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montażu urządzeń na placu zabaw</w:t>
      </w:r>
    </w:p>
    <w:p w:rsidR="00E85536" w:rsidRDefault="00E85536" w:rsidP="00AA5569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ogrodzenia</w:t>
      </w:r>
    </w:p>
    <w:p w:rsidR="00E85536" w:rsidRPr="00170306" w:rsidRDefault="00E85536" w:rsidP="00AA5569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trawnika.</w:t>
      </w:r>
    </w:p>
    <w:p w:rsidR="00814983" w:rsidRDefault="006B3CAB" w:rsidP="00AA5569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</w:rPr>
        <w:t>projektu budo</w:t>
      </w:r>
      <w:r w:rsidR="009531AA">
        <w:rPr>
          <w:b w:val="0"/>
          <w:bCs w:val="0"/>
          <w:sz w:val="24"/>
          <w:szCs w:val="24"/>
        </w:rPr>
        <w:t>wlano-wykonawczego, specyfikacji technicznej</w:t>
      </w:r>
      <w:r w:rsidRPr="00814983">
        <w:rPr>
          <w:b w:val="0"/>
          <w:bCs w:val="0"/>
          <w:sz w:val="24"/>
          <w:szCs w:val="24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</w:rPr>
        <w:t xml:space="preserve"> robót.</w:t>
      </w:r>
    </w:p>
    <w:p w:rsidR="00B211C8" w:rsidRDefault="00B211C8" w:rsidP="00B211C8">
      <w:pPr>
        <w:pStyle w:val="Tekstpodstawowy3"/>
        <w:ind w:left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Wszystkie urządzenia zabawowe muszą </w:t>
      </w:r>
      <w:r w:rsidR="002A5BA5">
        <w:rPr>
          <w:b w:val="0"/>
          <w:bCs w:val="0"/>
          <w:sz w:val="24"/>
          <w:szCs w:val="24"/>
        </w:rPr>
        <w:t>posiadać certyfikaty zgodności i atesty bezpieczeństwa zgodne z normą PN-EN 1176-1, PN-EN 1176-7, PN-EN 1177 oraz posiadać minimum trzyletnią gwarancję.  Natomiast wszystkie materiały użyte do budowy powinny posiadać aktualne atesty PZH, ITB i inne dopuszczające ich zastosowanie oraz certyfikaty bezpieczeństwa ze znakiem B, a sprzęt i narzędzia powinny być sprawne i oznakowane znakami bezpieczeństwa.</w:t>
      </w:r>
    </w:p>
    <w:p w:rsidR="0049014B" w:rsidRPr="0049014B" w:rsidRDefault="005C0FF3" w:rsidP="004901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Urządzenia wraz z </w:t>
      </w:r>
      <w:r w:rsidR="00834530">
        <w:rPr>
          <w:rFonts w:ascii="Times New Roman" w:eastAsia="Times New Roman" w:hAnsi="Times New Roman" w:cs="Times New Roman"/>
          <w:sz w:val="23"/>
          <w:szCs w:val="23"/>
          <w:lang w:eastAsia="pl-PL"/>
        </w:rPr>
        <w:t>parametrami</w:t>
      </w:r>
      <w:r w:rsidR="001953C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3457C">
        <w:rPr>
          <w:rFonts w:ascii="Times New Roman" w:eastAsia="Times New Roman" w:hAnsi="Times New Roman" w:cs="Times New Roman"/>
          <w:sz w:val="23"/>
          <w:szCs w:val="23"/>
          <w:lang w:eastAsia="pl-PL"/>
        </w:rPr>
        <w:t>zamieszczone w Projekcie Budowlanym lub</w:t>
      </w:r>
      <w:r w:rsidR="0049014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STWiOR są </w:t>
      </w:r>
      <w:r w:rsidR="007255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urządzeniami przykładowymi o przybliżonych wymiarach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dla potencjalnego Wykonawcy</w:t>
      </w:r>
      <w:r w:rsidR="00834530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531AA" w:rsidRPr="009531AA" w:rsidRDefault="009531AA" w:rsidP="00AA5569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</w:rPr>
        <w:t>36 miesięc</w:t>
      </w:r>
      <w:r w:rsidR="00E10F51">
        <w:rPr>
          <w:b w:val="0"/>
          <w:bCs w:val="0"/>
          <w:sz w:val="24"/>
          <w:szCs w:val="24"/>
        </w:rPr>
        <w:t>y i nie dłuższy niż 60</w:t>
      </w:r>
      <w:r w:rsidR="00502697">
        <w:rPr>
          <w:b w:val="0"/>
          <w:bCs w:val="0"/>
          <w:sz w:val="24"/>
          <w:szCs w:val="24"/>
        </w:rPr>
        <w:t xml:space="preserve"> miesięcy</w:t>
      </w:r>
      <w:r w:rsidRPr="00814983">
        <w:rPr>
          <w:b w:val="0"/>
          <w:bCs w:val="0"/>
          <w:sz w:val="24"/>
          <w:szCs w:val="24"/>
        </w:rPr>
        <w:t xml:space="preserve"> od odbioru końcowego.</w:t>
      </w:r>
    </w:p>
    <w:p w:rsidR="006B3CAB" w:rsidRPr="006E00ED" w:rsidRDefault="006B3CAB" w:rsidP="00AA5569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związane z </w:t>
      </w:r>
      <w:r w:rsidR="0032451D" w:rsidRPr="006E00ED">
        <w:rPr>
          <w:b w:val="0"/>
          <w:bCs w:val="0"/>
          <w:sz w:val="23"/>
          <w:szCs w:val="23"/>
        </w:rPr>
        <w:t>robotami</w:t>
      </w:r>
      <w:r w:rsidR="00E85536">
        <w:rPr>
          <w:b w:val="0"/>
          <w:sz w:val="23"/>
          <w:szCs w:val="23"/>
        </w:rPr>
        <w:t xml:space="preserve"> ziemnymi, montażowymi, małej architektury</w:t>
      </w:r>
      <w:r w:rsidR="006E00ED" w:rsidRPr="006E00ED">
        <w:rPr>
          <w:b w:val="0"/>
          <w:sz w:val="23"/>
          <w:szCs w:val="23"/>
        </w:rPr>
        <w:t xml:space="preserve"> oraz porządkowymi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:rsidR="006B3CAB" w:rsidRDefault="006B3CAB" w:rsidP="00AA5569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D17617" w:rsidRPr="00D17617" w:rsidRDefault="00D17617" w:rsidP="00D17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A43DE5" w:rsidRDefault="00E85536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3D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Przylep</w:t>
      </w:r>
      <w:r w:rsidR="006B3CAB" w:rsidRPr="00A43D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dn. </w:t>
      </w:r>
      <w:r w:rsidR="00A43DE5" w:rsidRPr="00A43D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A43D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.08</w:t>
      </w:r>
      <w:r w:rsidR="006B3CAB" w:rsidRPr="00A43D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DE5" w:rsidRDefault="00A43DE5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DE5" w:rsidRPr="006B3CAB" w:rsidRDefault="00A43DE5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GoBack"/>
      <w:bookmarkEnd w:id="4"/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43DE5" w:rsidRPr="006B3CAB" w:rsidRDefault="00A43DE5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:rsidR="0096521C" w:rsidRDefault="0096521C"/>
    <w:sectPr w:rsidR="0096521C" w:rsidSect="00FE1B06">
      <w:headerReference w:type="default" r:id="rId85"/>
      <w:footerReference w:type="default" r:id="rId86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CC" w:rsidRDefault="00AB31CC">
      <w:pPr>
        <w:spacing w:after="0" w:line="240" w:lineRule="auto"/>
      </w:pPr>
      <w:r>
        <w:separator/>
      </w:r>
    </w:p>
  </w:endnote>
  <w:endnote w:type="continuationSeparator" w:id="0">
    <w:p w:rsidR="00AB31CC" w:rsidRDefault="00AB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53" w:rsidRDefault="00FA2F5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43DE5">
      <w:rPr>
        <w:noProof/>
      </w:rPr>
      <w:t>24</w:t>
    </w:r>
    <w:r>
      <w:rPr>
        <w:noProof/>
      </w:rPr>
      <w:fldChar w:fldCharType="end"/>
    </w:r>
  </w:p>
  <w:p w:rsidR="00FA2F53" w:rsidRDefault="00FA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CC" w:rsidRDefault="00AB31CC">
      <w:pPr>
        <w:spacing w:after="0" w:line="240" w:lineRule="auto"/>
      </w:pPr>
      <w:r>
        <w:separator/>
      </w:r>
    </w:p>
  </w:footnote>
  <w:footnote w:type="continuationSeparator" w:id="0">
    <w:p w:rsidR="00AB31CC" w:rsidRDefault="00AB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53" w:rsidRPr="00FA2F53" w:rsidRDefault="00FA2F53" w:rsidP="00FE1B06">
    <w:pPr>
      <w:rPr>
        <w:rFonts w:ascii="Times New Roman" w:hAnsi="Times New Roman" w:cs="Times New Roman"/>
        <w:sz w:val="24"/>
        <w:szCs w:val="24"/>
      </w:rPr>
    </w:pPr>
    <w:r w:rsidRPr="00FA2F53">
      <w:rPr>
        <w:rFonts w:ascii="Times New Roman" w:hAnsi="Times New Roman" w:cs="Times New Roman"/>
        <w:sz w:val="24"/>
        <w:szCs w:val="24"/>
      </w:rPr>
      <w:t>ZSP.D.331.1.2021</w:t>
    </w:r>
  </w:p>
  <w:p w:rsidR="00FA2F53" w:rsidRPr="005352F4" w:rsidRDefault="00FA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2" w15:restartNumberingAfterBreak="0">
    <w:nsid w:val="23DE4431"/>
    <w:multiLevelType w:val="multilevel"/>
    <w:tmpl w:val="5636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5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5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9A1F9E"/>
    <w:multiLevelType w:val="hybridMultilevel"/>
    <w:tmpl w:val="53BE18C6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27"/>
  </w:num>
  <w:num w:numId="3">
    <w:abstractNumId w:val="1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28"/>
  </w:num>
  <w:num w:numId="9">
    <w:abstractNumId w:val="8"/>
  </w:num>
  <w:num w:numId="10">
    <w:abstractNumId w:val="17"/>
  </w:num>
  <w:num w:numId="11">
    <w:abstractNumId w:val="33"/>
  </w:num>
  <w:num w:numId="12">
    <w:abstractNumId w:val="13"/>
  </w:num>
  <w:num w:numId="13">
    <w:abstractNumId w:val="29"/>
  </w:num>
  <w:num w:numId="14">
    <w:abstractNumId w:val="37"/>
  </w:num>
  <w:num w:numId="15">
    <w:abstractNumId w:val="36"/>
  </w:num>
  <w:num w:numId="16">
    <w:abstractNumId w:val="24"/>
  </w:num>
  <w:num w:numId="17">
    <w:abstractNumId w:val="19"/>
  </w:num>
  <w:num w:numId="18">
    <w:abstractNumId w:val="30"/>
  </w:num>
  <w:num w:numId="19">
    <w:abstractNumId w:val="22"/>
  </w:num>
  <w:num w:numId="20">
    <w:abstractNumId w:val="32"/>
  </w:num>
  <w:num w:numId="21">
    <w:abstractNumId w:val="15"/>
  </w:num>
  <w:num w:numId="22">
    <w:abstractNumId w:val="14"/>
  </w:num>
  <w:num w:numId="23">
    <w:abstractNumId w:val="25"/>
  </w:num>
  <w:num w:numId="24">
    <w:abstractNumId w:val="11"/>
  </w:num>
  <w:num w:numId="25">
    <w:abstractNumId w:val="34"/>
  </w:num>
  <w:num w:numId="26">
    <w:abstractNumId w:val="18"/>
  </w:num>
  <w:num w:numId="27">
    <w:abstractNumId w:val="1"/>
  </w:num>
  <w:num w:numId="28">
    <w:abstractNumId w:val="2"/>
  </w:num>
  <w:num w:numId="29">
    <w:abstractNumId w:val="39"/>
  </w:num>
  <w:num w:numId="30">
    <w:abstractNumId w:val="3"/>
  </w:num>
  <w:num w:numId="31">
    <w:abstractNumId w:val="4"/>
  </w:num>
  <w:num w:numId="32">
    <w:abstractNumId w:val="5"/>
  </w:num>
  <w:num w:numId="33">
    <w:abstractNumId w:val="35"/>
  </w:num>
  <w:num w:numId="34">
    <w:abstractNumId w:val="7"/>
  </w:num>
  <w:num w:numId="35">
    <w:abstractNumId w:val="23"/>
  </w:num>
  <w:num w:numId="36">
    <w:abstractNumId w:val="21"/>
  </w:num>
  <w:num w:numId="37">
    <w:abstractNumId w:val="9"/>
  </w:num>
  <w:num w:numId="38">
    <w:abstractNumId w:val="10"/>
  </w:num>
  <w:num w:numId="39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CAB"/>
    <w:rsid w:val="00000623"/>
    <w:rsid w:val="00076523"/>
    <w:rsid w:val="0008231D"/>
    <w:rsid w:val="00082738"/>
    <w:rsid w:val="000B2B1F"/>
    <w:rsid w:val="000C5B41"/>
    <w:rsid w:val="000C5B66"/>
    <w:rsid w:val="000C7A71"/>
    <w:rsid w:val="000E3B86"/>
    <w:rsid w:val="000E75F1"/>
    <w:rsid w:val="000F0078"/>
    <w:rsid w:val="000F070E"/>
    <w:rsid w:val="00130AAD"/>
    <w:rsid w:val="00142389"/>
    <w:rsid w:val="0014547A"/>
    <w:rsid w:val="00154202"/>
    <w:rsid w:val="00170306"/>
    <w:rsid w:val="001809B1"/>
    <w:rsid w:val="00193151"/>
    <w:rsid w:val="001953C7"/>
    <w:rsid w:val="001A6E6E"/>
    <w:rsid w:val="001C750B"/>
    <w:rsid w:val="001F328D"/>
    <w:rsid w:val="001F557C"/>
    <w:rsid w:val="00205E35"/>
    <w:rsid w:val="0022070F"/>
    <w:rsid w:val="00245527"/>
    <w:rsid w:val="0026187A"/>
    <w:rsid w:val="00264DDE"/>
    <w:rsid w:val="002A5BA5"/>
    <w:rsid w:val="002B582C"/>
    <w:rsid w:val="002C363C"/>
    <w:rsid w:val="002C7089"/>
    <w:rsid w:val="002D7829"/>
    <w:rsid w:val="002E6560"/>
    <w:rsid w:val="0030499D"/>
    <w:rsid w:val="0032062D"/>
    <w:rsid w:val="0032451D"/>
    <w:rsid w:val="003A132A"/>
    <w:rsid w:val="003B003B"/>
    <w:rsid w:val="003C077F"/>
    <w:rsid w:val="003C5251"/>
    <w:rsid w:val="003C703E"/>
    <w:rsid w:val="003E13EE"/>
    <w:rsid w:val="003E7806"/>
    <w:rsid w:val="003F7BFD"/>
    <w:rsid w:val="004046E2"/>
    <w:rsid w:val="00406417"/>
    <w:rsid w:val="00406641"/>
    <w:rsid w:val="00462126"/>
    <w:rsid w:val="00471721"/>
    <w:rsid w:val="0049014B"/>
    <w:rsid w:val="004A14A3"/>
    <w:rsid w:val="004C578B"/>
    <w:rsid w:val="00502697"/>
    <w:rsid w:val="00504AD8"/>
    <w:rsid w:val="00507D68"/>
    <w:rsid w:val="0052024F"/>
    <w:rsid w:val="00523C21"/>
    <w:rsid w:val="0053555B"/>
    <w:rsid w:val="005C0FF3"/>
    <w:rsid w:val="005C1523"/>
    <w:rsid w:val="005C1C0F"/>
    <w:rsid w:val="005C57ED"/>
    <w:rsid w:val="005D32E2"/>
    <w:rsid w:val="005D397F"/>
    <w:rsid w:val="0060344B"/>
    <w:rsid w:val="0062513C"/>
    <w:rsid w:val="00631B94"/>
    <w:rsid w:val="00651B77"/>
    <w:rsid w:val="00673BAA"/>
    <w:rsid w:val="0067603E"/>
    <w:rsid w:val="006B3CAB"/>
    <w:rsid w:val="006C6D33"/>
    <w:rsid w:val="006D6066"/>
    <w:rsid w:val="006E00ED"/>
    <w:rsid w:val="00715C58"/>
    <w:rsid w:val="0072555A"/>
    <w:rsid w:val="00761F7C"/>
    <w:rsid w:val="00785868"/>
    <w:rsid w:val="007A0071"/>
    <w:rsid w:val="007A23C5"/>
    <w:rsid w:val="007D3B55"/>
    <w:rsid w:val="007F28EE"/>
    <w:rsid w:val="008049E6"/>
    <w:rsid w:val="00811F5E"/>
    <w:rsid w:val="00814983"/>
    <w:rsid w:val="008339F4"/>
    <w:rsid w:val="00834530"/>
    <w:rsid w:val="0083732C"/>
    <w:rsid w:val="00837BC4"/>
    <w:rsid w:val="00856756"/>
    <w:rsid w:val="00862435"/>
    <w:rsid w:val="00866051"/>
    <w:rsid w:val="00891A61"/>
    <w:rsid w:val="00895739"/>
    <w:rsid w:val="00895852"/>
    <w:rsid w:val="008A3412"/>
    <w:rsid w:val="008C19BA"/>
    <w:rsid w:val="008E2992"/>
    <w:rsid w:val="008E6024"/>
    <w:rsid w:val="008F1BB2"/>
    <w:rsid w:val="00950735"/>
    <w:rsid w:val="009531AA"/>
    <w:rsid w:val="009570BF"/>
    <w:rsid w:val="0096521C"/>
    <w:rsid w:val="0098749E"/>
    <w:rsid w:val="009A4F40"/>
    <w:rsid w:val="009C5249"/>
    <w:rsid w:val="00A01E66"/>
    <w:rsid w:val="00A25C81"/>
    <w:rsid w:val="00A43DE5"/>
    <w:rsid w:val="00A43F36"/>
    <w:rsid w:val="00A523C4"/>
    <w:rsid w:val="00A709DD"/>
    <w:rsid w:val="00A84500"/>
    <w:rsid w:val="00A92715"/>
    <w:rsid w:val="00A92A08"/>
    <w:rsid w:val="00AA1540"/>
    <w:rsid w:val="00AA442E"/>
    <w:rsid w:val="00AA5569"/>
    <w:rsid w:val="00AB0D90"/>
    <w:rsid w:val="00AB18C5"/>
    <w:rsid w:val="00AB31CC"/>
    <w:rsid w:val="00AC0B3C"/>
    <w:rsid w:val="00AC6989"/>
    <w:rsid w:val="00AD1D24"/>
    <w:rsid w:val="00AE7A69"/>
    <w:rsid w:val="00AF7826"/>
    <w:rsid w:val="00B1181B"/>
    <w:rsid w:val="00B211C8"/>
    <w:rsid w:val="00B246E9"/>
    <w:rsid w:val="00B31F97"/>
    <w:rsid w:val="00B60150"/>
    <w:rsid w:val="00B74311"/>
    <w:rsid w:val="00B951D7"/>
    <w:rsid w:val="00BA4106"/>
    <w:rsid w:val="00BE2817"/>
    <w:rsid w:val="00BE4358"/>
    <w:rsid w:val="00C06DC5"/>
    <w:rsid w:val="00C36174"/>
    <w:rsid w:val="00C374FD"/>
    <w:rsid w:val="00C41DD2"/>
    <w:rsid w:val="00C4566A"/>
    <w:rsid w:val="00C60C18"/>
    <w:rsid w:val="00C8633E"/>
    <w:rsid w:val="00C91C14"/>
    <w:rsid w:val="00CB6367"/>
    <w:rsid w:val="00CC71F2"/>
    <w:rsid w:val="00CC7D8A"/>
    <w:rsid w:val="00CE2013"/>
    <w:rsid w:val="00CE6499"/>
    <w:rsid w:val="00D01710"/>
    <w:rsid w:val="00D10A97"/>
    <w:rsid w:val="00D17617"/>
    <w:rsid w:val="00D21593"/>
    <w:rsid w:val="00D72AEA"/>
    <w:rsid w:val="00D82F67"/>
    <w:rsid w:val="00DB7E58"/>
    <w:rsid w:val="00DF3831"/>
    <w:rsid w:val="00E03046"/>
    <w:rsid w:val="00E06C63"/>
    <w:rsid w:val="00E10F51"/>
    <w:rsid w:val="00E3457C"/>
    <w:rsid w:val="00E6300E"/>
    <w:rsid w:val="00E64A5D"/>
    <w:rsid w:val="00E73106"/>
    <w:rsid w:val="00E85536"/>
    <w:rsid w:val="00E9476B"/>
    <w:rsid w:val="00EB72A1"/>
    <w:rsid w:val="00ED0DD3"/>
    <w:rsid w:val="00ED5F0F"/>
    <w:rsid w:val="00EE5986"/>
    <w:rsid w:val="00EF2FFA"/>
    <w:rsid w:val="00EF697A"/>
    <w:rsid w:val="00F0087D"/>
    <w:rsid w:val="00F03EF9"/>
    <w:rsid w:val="00F16DF7"/>
    <w:rsid w:val="00F266E4"/>
    <w:rsid w:val="00F463AC"/>
    <w:rsid w:val="00F60B1C"/>
    <w:rsid w:val="00F80C88"/>
    <w:rsid w:val="00F8587C"/>
    <w:rsid w:val="00FA2F5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13B59-085E-424B-97FB-9A29FA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E6E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60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03E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przylep.edu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platformazakupowa.pl/pn/kolbaskow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lbaskowo" TargetMode="External"/><Relationship Id="rId14" Type="http://schemas.openxmlformats.org/officeDocument/2006/relationships/hyperlink" Target="mailto:sokolowska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www.gov.pl/web/e-dowod/podpis-osobisty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FD15-F734-4A64-BFA9-EB86E269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24</Pages>
  <Words>10460</Words>
  <Characters>62764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53</cp:revision>
  <cp:lastPrinted>2021-08-11T09:26:00Z</cp:lastPrinted>
  <dcterms:created xsi:type="dcterms:W3CDTF">2021-05-12T12:53:00Z</dcterms:created>
  <dcterms:modified xsi:type="dcterms:W3CDTF">2021-08-11T09:26:00Z</dcterms:modified>
</cp:coreProperties>
</file>