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7F56" w14:textId="4FF0E51A" w:rsidR="00674DF8" w:rsidRDefault="00674DF8" w:rsidP="00674DF8">
      <w:pPr>
        <w:tabs>
          <w:tab w:val="right" w:leader="dot" w:pos="8931"/>
        </w:tabs>
        <w:spacing w:before="240"/>
        <w:contextualSpacing w:val="0"/>
        <w:rPr>
          <w:rFonts w:ascii="Calibri" w:eastAsia="Times New Roman" w:hAnsi="Calibri" w:cs="Times New Roman"/>
        </w:rPr>
      </w:pPr>
      <w:bookmarkStart w:id="1" w:name="_Hlk137041648"/>
      <w:r w:rsidRPr="00674DF8">
        <w:rPr>
          <w:rFonts w:ascii="Calibri" w:eastAsia="Times New Roman" w:hAnsi="Calibri" w:cs="Times New Roman"/>
        </w:rPr>
        <w:t>Znak pisma: BO.WZ.26.4.2025</w:t>
      </w:r>
    </w:p>
    <w:p w14:paraId="618F7A9A" w14:textId="4BD27DDB" w:rsidR="009604DB" w:rsidRDefault="00EC4889" w:rsidP="00CA3D68">
      <w:pPr>
        <w:tabs>
          <w:tab w:val="right" w:leader="dot" w:pos="8931"/>
        </w:tabs>
        <w:spacing w:before="240"/>
        <w:ind w:left="6379"/>
        <w:contextualSpacing w:val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Warszawa, </w:t>
      </w:r>
      <w:r w:rsidR="00376B29">
        <w:rPr>
          <w:rFonts w:ascii="Calibri" w:eastAsia="Times New Roman" w:hAnsi="Calibri" w:cs="Times New Roman"/>
        </w:rPr>
        <w:t>13 maja 2025 r.</w:t>
      </w:r>
    </w:p>
    <w:p w14:paraId="6960191F" w14:textId="5E755361" w:rsidR="003E791D" w:rsidRPr="008B5FD0" w:rsidRDefault="003E791D" w:rsidP="003E791D">
      <w:pPr>
        <w:pStyle w:val="Nagwek1"/>
      </w:pPr>
      <w:r w:rsidRPr="008B5FD0">
        <w:t>PYTANI</w:t>
      </w:r>
      <w:r w:rsidR="00F05A74">
        <w:t>A</w:t>
      </w:r>
      <w:r w:rsidRPr="008B5FD0">
        <w:t xml:space="preserve"> I ODPOWIED</w:t>
      </w:r>
      <w:r w:rsidR="00B33E0C">
        <w:t>ZI</w:t>
      </w:r>
      <w:r w:rsidRPr="008B5FD0">
        <w:t xml:space="preserve"> DO SWZ</w:t>
      </w:r>
    </w:p>
    <w:p w14:paraId="614AE2CD" w14:textId="62BB1610" w:rsidR="003E791D" w:rsidRPr="00927A56" w:rsidRDefault="003E791D" w:rsidP="00AB239D">
      <w:pPr>
        <w:pStyle w:val="Nagwek2"/>
        <w:rPr>
          <w:b w:val="0"/>
          <w:bCs w:val="0"/>
        </w:rPr>
      </w:pPr>
      <w:bookmarkStart w:id="2" w:name="_Hlk110928258"/>
      <w:r w:rsidRPr="003E791D">
        <w:rPr>
          <w:rStyle w:val="Nagwek2Znak"/>
          <w:b/>
          <w:bCs/>
        </w:rPr>
        <w:t xml:space="preserve">Dotyczy: postępowania pn. </w:t>
      </w:r>
      <w:r w:rsidR="00771981">
        <w:rPr>
          <w:rStyle w:val="Nagwek2Znak"/>
          <w:b/>
          <w:bCs/>
        </w:rPr>
        <w:t>„</w:t>
      </w:r>
      <w:r w:rsidR="00EC4889" w:rsidRPr="00EC4889">
        <w:rPr>
          <w:rStyle w:val="Nagwek2Znak"/>
          <w:b/>
          <w:bCs/>
        </w:rPr>
        <w:t xml:space="preserve">Badanie dostępności gabinetów stomatologicznych i usług świadczonych na rzecz osób ze </w:t>
      </w:r>
      <w:r w:rsidR="00EC4889" w:rsidRPr="00927A56">
        <w:rPr>
          <w:rStyle w:val="Nagwek2Znak"/>
          <w:b/>
          <w:bCs/>
        </w:rPr>
        <w:t>szczególnymi potrzebami, w tym z niepełnosprawnościami</w:t>
      </w:r>
      <w:r w:rsidR="00771981">
        <w:rPr>
          <w:rStyle w:val="Nagwek2Znak"/>
          <w:b/>
          <w:bCs/>
        </w:rPr>
        <w:t>”</w:t>
      </w:r>
    </w:p>
    <w:p w14:paraId="40CD563A" w14:textId="734C012F" w:rsidR="003E791D" w:rsidRPr="003E791D" w:rsidRDefault="003E791D" w:rsidP="00AB239D">
      <w:pPr>
        <w:spacing w:before="100" w:beforeAutospacing="1" w:after="100" w:afterAutospacing="1"/>
        <w:contextualSpacing w:val="0"/>
      </w:pPr>
      <w:r w:rsidRPr="008B5FD0">
        <w:rPr>
          <w:b/>
          <w:bCs/>
          <w:color w:val="000000"/>
          <w:lang w:eastAsia="pl-PL"/>
        </w:rPr>
        <w:t>Znak sprawy: ZP/</w:t>
      </w:r>
      <w:r w:rsidR="00EC4889">
        <w:rPr>
          <w:b/>
          <w:bCs/>
          <w:color w:val="000000"/>
          <w:lang w:eastAsia="pl-PL"/>
        </w:rPr>
        <w:t>1</w:t>
      </w:r>
      <w:r w:rsidRPr="008B5FD0">
        <w:rPr>
          <w:b/>
          <w:bCs/>
          <w:color w:val="000000"/>
          <w:lang w:eastAsia="pl-PL"/>
        </w:rPr>
        <w:t>1/25</w:t>
      </w:r>
      <w:bookmarkEnd w:id="2"/>
    </w:p>
    <w:p w14:paraId="2071D74C" w14:textId="680D996A" w:rsidR="003E791D" w:rsidRDefault="003E791D" w:rsidP="00927A56">
      <w:pPr>
        <w:pStyle w:val="Akapitzlist"/>
        <w:numPr>
          <w:ilvl w:val="0"/>
          <w:numId w:val="11"/>
        </w:numPr>
        <w:ind w:left="425" w:hanging="357"/>
        <w:contextualSpacing w:val="0"/>
        <w:rPr>
          <w:rFonts w:cstheme="minorHAnsi"/>
        </w:rPr>
      </w:pPr>
      <w:bookmarkStart w:id="3" w:name="_Hlk110928329"/>
      <w:r w:rsidRPr="008B5FD0">
        <w:rPr>
          <w:rFonts w:cstheme="minorHAnsi"/>
        </w:rPr>
        <w:t xml:space="preserve">Zamawiający działając na podstawie art. 284 ust. 2 ustawy z dnia 11 września 2019 r. Prawo </w:t>
      </w:r>
      <w:r w:rsidR="00674DF8">
        <w:rPr>
          <w:rFonts w:cstheme="minorHAnsi"/>
        </w:rPr>
        <w:t>z</w:t>
      </w:r>
      <w:r w:rsidRPr="008B5FD0">
        <w:rPr>
          <w:rFonts w:cstheme="minorHAnsi"/>
        </w:rPr>
        <w:t xml:space="preserve">amówień </w:t>
      </w:r>
      <w:r w:rsidR="00674DF8">
        <w:rPr>
          <w:rFonts w:cstheme="minorHAnsi"/>
        </w:rPr>
        <w:t>p</w:t>
      </w:r>
      <w:r w:rsidRPr="00CA4060">
        <w:rPr>
          <w:rFonts w:cstheme="minorHAnsi"/>
        </w:rPr>
        <w:t>ublicznych informuje, że wpłynęł</w:t>
      </w:r>
      <w:r w:rsidR="00BB13F6">
        <w:rPr>
          <w:rFonts w:cstheme="minorHAnsi"/>
        </w:rPr>
        <w:t>y</w:t>
      </w:r>
      <w:r w:rsidRPr="00CA4060">
        <w:rPr>
          <w:rFonts w:cstheme="minorHAnsi"/>
        </w:rPr>
        <w:t xml:space="preserve"> pytani</w:t>
      </w:r>
      <w:r w:rsidR="00BB13F6">
        <w:rPr>
          <w:rFonts w:cstheme="minorHAnsi"/>
        </w:rPr>
        <w:t>a</w:t>
      </w:r>
      <w:r w:rsidRPr="00CA4060">
        <w:rPr>
          <w:rFonts w:cstheme="minorHAnsi"/>
        </w:rPr>
        <w:t xml:space="preserve"> do przedmiotowego</w:t>
      </w:r>
      <w:r w:rsidRPr="008B5FD0">
        <w:rPr>
          <w:rFonts w:cstheme="minorHAnsi"/>
        </w:rPr>
        <w:t xml:space="preserve"> postępowania.</w:t>
      </w:r>
    </w:p>
    <w:p w14:paraId="7825BBD2" w14:textId="4FECA526" w:rsidR="003E791D" w:rsidRPr="003E791D" w:rsidRDefault="003E791D" w:rsidP="00927A56">
      <w:pPr>
        <w:pStyle w:val="Akapitzlist"/>
        <w:numPr>
          <w:ilvl w:val="0"/>
          <w:numId w:val="11"/>
        </w:numPr>
        <w:ind w:left="425" w:hanging="357"/>
        <w:contextualSpacing w:val="0"/>
        <w:rPr>
          <w:rFonts w:cstheme="minorHAnsi"/>
        </w:rPr>
      </w:pPr>
      <w:r w:rsidRPr="008B5FD0">
        <w:rPr>
          <w:rFonts w:cstheme="minorHAnsi"/>
        </w:rPr>
        <w:t>Poniżej treść zapytania wraz z odpowiedzią Zamawiającego.</w:t>
      </w:r>
      <w:bookmarkEnd w:id="3"/>
    </w:p>
    <w:p w14:paraId="52B71E4A" w14:textId="77777777" w:rsidR="00895573" w:rsidRDefault="003E791D" w:rsidP="00AB239D">
      <w:pPr>
        <w:pStyle w:val="Nagwek3"/>
        <w:contextualSpacing w:val="0"/>
        <w:rPr>
          <w:lang w:eastAsia="pl-PL" w:bidi="pl-PL"/>
        </w:rPr>
      </w:pPr>
      <w:r w:rsidRPr="003E791D">
        <w:rPr>
          <w:lang w:eastAsia="pl-PL" w:bidi="pl-PL"/>
        </w:rPr>
        <w:t>Pytanie 1:</w:t>
      </w:r>
    </w:p>
    <w:p w14:paraId="3FA36359" w14:textId="7E6614FA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W związku z analizą Opisu Przedmiotu Zamówienia dotyczącego badania dostępności gabinetów stomatologicznych i usług świadczonych na rzecz osób ze szczególnymi potrzebami, w tym z niepełnosprawnościami (znak sprawy ZP/11/25), zwracamy się z</w:t>
      </w:r>
      <w:r>
        <w:rPr>
          <w:lang w:eastAsia="pl-PL" w:bidi="pl-PL"/>
        </w:rPr>
        <w:t> </w:t>
      </w:r>
      <w:r w:rsidRPr="00927A56">
        <w:rPr>
          <w:lang w:eastAsia="pl-PL" w:bidi="pl-PL"/>
        </w:rPr>
        <w:t>uprzejmą prośbą o wydłużenie przewidzianego harmonogramu realizacji badania.</w:t>
      </w:r>
    </w:p>
    <w:p w14:paraId="7A27327B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Po szczegółowej analizie zakresu i złożoności badania, a także doświadczeń w realizacji podobnych projektów badawczych, zmuszeni jesteśmy stwierdzić, że przedstawiony harmonogram jest niewykonalny przy zachowaniu wysokiej jakości badania i wszystkich wymagań OPZ. Poniżej przedstawiamy szczegółowe uzasadnienie naszego stanowiska.</w:t>
      </w:r>
    </w:p>
    <w:p w14:paraId="4CC8A121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Największe zastrzeżenia budzi przewidziany w harmonogramie czas na realizację badań terenowych, który obejmuje:</w:t>
      </w:r>
    </w:p>
    <w:p w14:paraId="47DA3FFC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Przeprowadzenie pierwszego panelu eksperckiego,</w:t>
      </w:r>
    </w:p>
    <w:p w14:paraId="1AD58DF3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Realizację wszystkich 879 wywiadów ilościowych (CAWI/CATI/PAPI),</w:t>
      </w:r>
    </w:p>
    <w:p w14:paraId="0DB3703B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Przeprowadzenie 27 indywidualnych wywiadów pogłębionych (IDI),</w:t>
      </w:r>
    </w:p>
    <w:p w14:paraId="37E54FD1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Realizację 3 studiów przypadku (łącznie 21 wywiadów),</w:t>
      </w:r>
    </w:p>
    <w:p w14:paraId="7333CA3B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Przeprowadzenie drugiego panelu eksperckiego,</w:t>
      </w:r>
    </w:p>
    <w:p w14:paraId="24E23A50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Analizę danych i opracowanie wyników,</w:t>
      </w:r>
    </w:p>
    <w:p w14:paraId="15E3D2BA" w14:textId="77777777" w:rsidR="00927A56" w:rsidRPr="00927A56" w:rsidRDefault="00927A56" w:rsidP="00E772F1">
      <w:pPr>
        <w:numPr>
          <w:ilvl w:val="0"/>
          <w:numId w:val="12"/>
        </w:numPr>
        <w:rPr>
          <w:lang w:eastAsia="pl-PL" w:bidi="pl-PL"/>
        </w:rPr>
      </w:pPr>
      <w:r w:rsidRPr="00927A56">
        <w:rPr>
          <w:lang w:eastAsia="pl-PL" w:bidi="pl-PL"/>
        </w:rPr>
        <w:t>Przygotowanie pierwszej wersji raportu końcowego.</w:t>
      </w:r>
    </w:p>
    <w:p w14:paraId="6017DDDE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lastRenderedPageBreak/>
        <w:t xml:space="preserve">Realizacja tak złożonego metodologicznie badania w </w:t>
      </w:r>
      <w:r w:rsidRPr="00927A56">
        <w:rPr>
          <w:b/>
          <w:bCs/>
          <w:lang w:eastAsia="pl-PL" w:bidi="pl-PL"/>
        </w:rPr>
        <w:t>ciągu 30 dni roboczych</w:t>
      </w:r>
      <w:r w:rsidRPr="00927A56">
        <w:rPr>
          <w:lang w:eastAsia="pl-PL" w:bidi="pl-PL"/>
        </w:rPr>
        <w:t xml:space="preserve"> (ok. 6 tygodni kalendarzowych) jest praktycznie niemożliwa przy zapewnieniu jakości wymaganej przez standardy badań społecznych oraz wymogi OPZ.</w:t>
      </w:r>
    </w:p>
    <w:p w14:paraId="0EA7859D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Zgodnie z OPZ, badanie wymaga dotarcia do specyficznych i trudno dostępnych grup respondentów:</w:t>
      </w:r>
    </w:p>
    <w:p w14:paraId="4BBD8418" w14:textId="77777777" w:rsidR="00927A56" w:rsidRPr="00927A56" w:rsidRDefault="00927A56" w:rsidP="00E772F1">
      <w:pPr>
        <w:numPr>
          <w:ilvl w:val="0"/>
          <w:numId w:val="13"/>
        </w:numPr>
        <w:rPr>
          <w:lang w:eastAsia="pl-PL" w:bidi="pl-PL"/>
        </w:rPr>
      </w:pPr>
      <w:r w:rsidRPr="00927A56">
        <w:rPr>
          <w:lang w:eastAsia="pl-PL" w:bidi="pl-PL"/>
        </w:rPr>
        <w:t>Osób ze szczególnymi potrzebami, w tym z 6 różnymi rodzajami niepełnosprawności (wzrokowa, słuchowa, fizyczna i ruchowa, choroby psychiczne, intelektualna, spektrum autyzmu),</w:t>
      </w:r>
    </w:p>
    <w:p w14:paraId="40815F11" w14:textId="77777777" w:rsidR="00927A56" w:rsidRPr="00927A56" w:rsidRDefault="00927A56" w:rsidP="00E772F1">
      <w:pPr>
        <w:numPr>
          <w:ilvl w:val="0"/>
          <w:numId w:val="13"/>
        </w:numPr>
        <w:rPr>
          <w:lang w:eastAsia="pl-PL" w:bidi="pl-PL"/>
        </w:rPr>
      </w:pPr>
      <w:r w:rsidRPr="00927A56">
        <w:rPr>
          <w:lang w:eastAsia="pl-PL" w:bidi="pl-PL"/>
        </w:rPr>
        <w:t>Respondentów z różnych województw (pełne pokrycie geograficzne kraju),</w:t>
      </w:r>
    </w:p>
    <w:p w14:paraId="3E28DA8E" w14:textId="55CF667D" w:rsidR="00927A56" w:rsidRPr="00927A56" w:rsidRDefault="00927A56" w:rsidP="00E772F1">
      <w:pPr>
        <w:numPr>
          <w:ilvl w:val="0"/>
          <w:numId w:val="13"/>
        </w:numPr>
        <w:rPr>
          <w:lang w:eastAsia="pl-PL" w:bidi="pl-PL"/>
        </w:rPr>
      </w:pPr>
      <w:r w:rsidRPr="00927A56">
        <w:rPr>
          <w:lang w:eastAsia="pl-PL" w:bidi="pl-PL"/>
        </w:rPr>
        <w:t>Przedstawicieli organizacji pozarządowych reprezentujących osoby z</w:t>
      </w:r>
      <w:r w:rsidR="00E50320">
        <w:rPr>
          <w:lang w:eastAsia="pl-PL" w:bidi="pl-PL"/>
        </w:rPr>
        <w:t> </w:t>
      </w:r>
      <w:r w:rsidRPr="00927A56">
        <w:rPr>
          <w:lang w:eastAsia="pl-PL" w:bidi="pl-PL"/>
        </w:rPr>
        <w:t>niepełnosprawnościami,</w:t>
      </w:r>
    </w:p>
    <w:p w14:paraId="40554916" w14:textId="77777777" w:rsidR="00927A56" w:rsidRPr="00927A56" w:rsidRDefault="00927A56" w:rsidP="00E772F1">
      <w:pPr>
        <w:numPr>
          <w:ilvl w:val="0"/>
          <w:numId w:val="13"/>
        </w:numPr>
        <w:rPr>
          <w:lang w:eastAsia="pl-PL" w:bidi="pl-PL"/>
        </w:rPr>
      </w:pPr>
      <w:r w:rsidRPr="00927A56">
        <w:rPr>
          <w:lang w:eastAsia="pl-PL" w:bidi="pl-PL"/>
        </w:rPr>
        <w:t>Przedstawicieli DPS-ów,</w:t>
      </w:r>
    </w:p>
    <w:p w14:paraId="22E1A01E" w14:textId="77777777" w:rsidR="00927A56" w:rsidRPr="00927A56" w:rsidRDefault="00927A56" w:rsidP="00E772F1">
      <w:pPr>
        <w:numPr>
          <w:ilvl w:val="0"/>
          <w:numId w:val="13"/>
        </w:numPr>
        <w:rPr>
          <w:lang w:eastAsia="pl-PL" w:bidi="pl-PL"/>
        </w:rPr>
      </w:pPr>
      <w:r w:rsidRPr="00927A56">
        <w:rPr>
          <w:lang w:eastAsia="pl-PL" w:bidi="pl-PL"/>
        </w:rPr>
        <w:t>Personelu gabinetów stomatologicznych (lekarze, personel pomocniczy, personel niemedyczny, kadra zarządcza).</w:t>
      </w:r>
    </w:p>
    <w:p w14:paraId="44C8718B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b/>
          <w:bCs/>
          <w:lang w:eastAsia="pl-PL" w:bidi="pl-PL"/>
        </w:rPr>
        <w:t>Sama rekrutacja</w:t>
      </w:r>
      <w:r w:rsidRPr="00927A56">
        <w:rPr>
          <w:lang w:eastAsia="pl-PL" w:bidi="pl-PL"/>
        </w:rPr>
        <w:t xml:space="preserve"> tych respondentów, szczególnie w przypadku osób z różnymi rodzajami niepełnosprawności oraz w różnych lokalizacjach, wymaga minimum </w:t>
      </w:r>
      <w:r w:rsidRPr="00927A56">
        <w:rPr>
          <w:b/>
          <w:bCs/>
          <w:lang w:eastAsia="pl-PL" w:bidi="pl-PL"/>
        </w:rPr>
        <w:t>3-4 tygodni</w:t>
      </w:r>
      <w:r w:rsidRPr="00927A56">
        <w:rPr>
          <w:lang w:eastAsia="pl-PL" w:bidi="pl-PL"/>
        </w:rPr>
        <w:t>, co praktycznie wyczerpuje cały czas przeznaczony na realizację badań terenowych.</w:t>
      </w:r>
    </w:p>
    <w:p w14:paraId="58B8C8BF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OPZ określa bardzo wysokie wymagania dotyczące dostępności badania, w tym:</w:t>
      </w:r>
    </w:p>
    <w:p w14:paraId="43FA2CC4" w14:textId="77777777" w:rsidR="00927A56" w:rsidRPr="00927A56" w:rsidRDefault="00927A56" w:rsidP="00E772F1">
      <w:pPr>
        <w:numPr>
          <w:ilvl w:val="0"/>
          <w:numId w:val="14"/>
        </w:numPr>
        <w:rPr>
          <w:lang w:eastAsia="pl-PL" w:bidi="pl-PL"/>
        </w:rPr>
      </w:pPr>
      <w:r w:rsidRPr="00927A56">
        <w:rPr>
          <w:lang w:eastAsia="pl-PL" w:bidi="pl-PL"/>
        </w:rPr>
        <w:t>Zapewnienie tłumaczeń na Polski Język Migowy (PJM) dla osób głuchych,</w:t>
      </w:r>
    </w:p>
    <w:p w14:paraId="6F942BD3" w14:textId="77777777" w:rsidR="00927A56" w:rsidRPr="00927A56" w:rsidRDefault="00927A56" w:rsidP="00E772F1">
      <w:pPr>
        <w:numPr>
          <w:ilvl w:val="0"/>
          <w:numId w:val="14"/>
        </w:numPr>
        <w:rPr>
          <w:lang w:eastAsia="pl-PL" w:bidi="pl-PL"/>
        </w:rPr>
      </w:pPr>
      <w:r w:rsidRPr="00927A56">
        <w:rPr>
          <w:lang w:eastAsia="pl-PL" w:bidi="pl-PL"/>
        </w:rPr>
        <w:t>Realizację badań w dostępnych architektonicznie lokalizacjach,</w:t>
      </w:r>
    </w:p>
    <w:p w14:paraId="22622894" w14:textId="77777777" w:rsidR="00927A56" w:rsidRPr="00927A56" w:rsidRDefault="00927A56" w:rsidP="00E772F1">
      <w:pPr>
        <w:numPr>
          <w:ilvl w:val="0"/>
          <w:numId w:val="14"/>
        </w:numPr>
        <w:rPr>
          <w:lang w:eastAsia="pl-PL" w:bidi="pl-PL"/>
        </w:rPr>
      </w:pPr>
      <w:r w:rsidRPr="00927A56">
        <w:rPr>
          <w:lang w:eastAsia="pl-PL" w:bidi="pl-PL"/>
        </w:rPr>
        <w:t>Zastosowanie zasady prostego języka we wszystkich narzędziach badawczych,</w:t>
      </w:r>
    </w:p>
    <w:p w14:paraId="2ABB7109" w14:textId="77777777" w:rsidR="00927A56" w:rsidRPr="00927A56" w:rsidRDefault="00927A56" w:rsidP="00E772F1">
      <w:pPr>
        <w:numPr>
          <w:ilvl w:val="0"/>
          <w:numId w:val="14"/>
        </w:numPr>
        <w:rPr>
          <w:lang w:eastAsia="pl-PL" w:bidi="pl-PL"/>
        </w:rPr>
      </w:pPr>
      <w:r w:rsidRPr="00927A56">
        <w:rPr>
          <w:lang w:eastAsia="pl-PL" w:bidi="pl-PL"/>
        </w:rPr>
        <w:t>Przygotowanie materiałów zgodnych ze standardem ETR dla osób z niepełnosprawnością intelektualną.</w:t>
      </w:r>
    </w:p>
    <w:p w14:paraId="73EC33BE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Przygotowanie wszystkich niezbędnych dostosowań wymaga dodatkowego czasu, który nie został uwzględniony w harmonogramie.</w:t>
      </w:r>
    </w:p>
    <w:p w14:paraId="4789F92F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 xml:space="preserve">Przeprowadzenie badań ankietowych na próbie minimum </w:t>
      </w:r>
      <w:r w:rsidRPr="00927A56">
        <w:rPr>
          <w:b/>
          <w:bCs/>
          <w:lang w:eastAsia="pl-PL" w:bidi="pl-PL"/>
        </w:rPr>
        <w:t>879 podmiotów,</w:t>
      </w:r>
      <w:r w:rsidRPr="00927A56">
        <w:rPr>
          <w:lang w:eastAsia="pl-PL" w:bidi="pl-PL"/>
        </w:rPr>
        <w:t xml:space="preserve"> przy określonych minimalnych progach dla każdego województwa, jest bardzo ambitnym zadaniem. Standardowa stopa zwrotu w badaniach gabinetów i placówek medycznych wynosi zazwyczaj 15-20%, co oznacza konieczność wykonania przynajmniej ok. 2500 kontaktów telefonicznych z potencjalnymi respondentami.</w:t>
      </w:r>
    </w:p>
    <w:p w14:paraId="13294EFA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Uwzględniając, że:</w:t>
      </w:r>
    </w:p>
    <w:p w14:paraId="32C78A90" w14:textId="77777777" w:rsidR="00927A56" w:rsidRPr="00927A56" w:rsidRDefault="00927A56" w:rsidP="00E772F1">
      <w:pPr>
        <w:numPr>
          <w:ilvl w:val="0"/>
          <w:numId w:val="15"/>
        </w:numPr>
        <w:rPr>
          <w:lang w:eastAsia="pl-PL" w:bidi="pl-PL"/>
        </w:rPr>
      </w:pPr>
      <w:r w:rsidRPr="00927A56">
        <w:rPr>
          <w:lang w:eastAsia="pl-PL" w:bidi="pl-PL"/>
        </w:rPr>
        <w:t>Jeden ankieter CATI może przeprowadzić średnio 10-12 wywiadów dziennie,</w:t>
      </w:r>
    </w:p>
    <w:p w14:paraId="2C1B8391" w14:textId="02B432F6" w:rsidR="00927A56" w:rsidRPr="00927A56" w:rsidRDefault="00927A56" w:rsidP="00E772F1">
      <w:pPr>
        <w:numPr>
          <w:ilvl w:val="0"/>
          <w:numId w:val="15"/>
        </w:numPr>
        <w:rPr>
          <w:lang w:eastAsia="pl-PL" w:bidi="pl-PL"/>
        </w:rPr>
      </w:pPr>
      <w:r w:rsidRPr="00927A56">
        <w:rPr>
          <w:lang w:eastAsia="pl-PL" w:bidi="pl-PL"/>
        </w:rPr>
        <w:t>Skuteczność kontaktów w przypadku personelu medycznego jest niższa niż w</w:t>
      </w:r>
      <w:r>
        <w:rPr>
          <w:lang w:eastAsia="pl-PL" w:bidi="pl-PL"/>
        </w:rPr>
        <w:t> </w:t>
      </w:r>
      <w:r w:rsidRPr="00927A56">
        <w:rPr>
          <w:lang w:eastAsia="pl-PL" w:bidi="pl-PL"/>
        </w:rPr>
        <w:t>badaniach ogólnych,</w:t>
      </w:r>
    </w:p>
    <w:p w14:paraId="36930F91" w14:textId="77777777" w:rsidR="00927A56" w:rsidRPr="00927A56" w:rsidRDefault="00927A56" w:rsidP="00E772F1">
      <w:pPr>
        <w:numPr>
          <w:ilvl w:val="0"/>
          <w:numId w:val="15"/>
        </w:numPr>
        <w:rPr>
          <w:lang w:eastAsia="pl-PL" w:bidi="pl-PL"/>
        </w:rPr>
      </w:pPr>
      <w:r w:rsidRPr="00927A56">
        <w:rPr>
          <w:lang w:eastAsia="pl-PL" w:bidi="pl-PL"/>
        </w:rPr>
        <w:t>Konieczne jest monitorowanie progów określonych dla każdego województwa,</w:t>
      </w:r>
    </w:p>
    <w:p w14:paraId="42C908DD" w14:textId="77777777" w:rsidR="00927A56" w:rsidRPr="00927A56" w:rsidRDefault="00927A56" w:rsidP="00E772F1">
      <w:pPr>
        <w:numPr>
          <w:ilvl w:val="0"/>
          <w:numId w:val="15"/>
        </w:numPr>
        <w:rPr>
          <w:lang w:eastAsia="pl-PL" w:bidi="pl-PL"/>
        </w:rPr>
      </w:pPr>
      <w:r w:rsidRPr="00927A56">
        <w:rPr>
          <w:lang w:eastAsia="pl-PL" w:bidi="pl-PL"/>
        </w:rPr>
        <w:t>Wymagane jest dotarcie do 4 różnych grup personelu w ramach jednego gabinetu.</w:t>
      </w:r>
    </w:p>
    <w:p w14:paraId="3565E24C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Realistyczny czas potrzebny na realizację tej części badania to minimum 25-30 dni roboczych, co praktycznie wyczerpuje cały czas przeznaczony w harmonogramie na wszystkie badania terenowe.</w:t>
      </w:r>
    </w:p>
    <w:p w14:paraId="20A7598C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lastRenderedPageBreak/>
        <w:t xml:space="preserve">Łącznie OPZ wymaga przeprowadzenia </w:t>
      </w:r>
      <w:r w:rsidRPr="00927A56">
        <w:rPr>
          <w:b/>
          <w:bCs/>
          <w:lang w:eastAsia="pl-PL" w:bidi="pl-PL"/>
        </w:rPr>
        <w:t>48 wywiadów jakościowych</w:t>
      </w:r>
      <w:r w:rsidRPr="00927A56">
        <w:rPr>
          <w:lang w:eastAsia="pl-PL" w:bidi="pl-PL"/>
        </w:rPr>
        <w:t xml:space="preserve"> (27 IDI plus 21 wywiadów w ramach studiów przypadku). Przy uwzględnieniu, że:</w:t>
      </w:r>
    </w:p>
    <w:p w14:paraId="4F2324D4" w14:textId="77777777" w:rsidR="00927A56" w:rsidRPr="00927A56" w:rsidRDefault="00927A56" w:rsidP="00E772F1">
      <w:pPr>
        <w:numPr>
          <w:ilvl w:val="0"/>
          <w:numId w:val="16"/>
        </w:numPr>
        <w:rPr>
          <w:lang w:eastAsia="pl-PL" w:bidi="pl-PL"/>
        </w:rPr>
      </w:pPr>
      <w:r w:rsidRPr="00927A56">
        <w:rPr>
          <w:lang w:eastAsia="pl-PL" w:bidi="pl-PL"/>
        </w:rPr>
        <w:t>Wywiady z osobami z niepełnosprawnościami wymagają szczególnych przygotowań i często dłuższego czasu,</w:t>
      </w:r>
    </w:p>
    <w:p w14:paraId="1248B21C" w14:textId="77777777" w:rsidR="00927A56" w:rsidRPr="00927A56" w:rsidRDefault="00927A56" w:rsidP="00E772F1">
      <w:pPr>
        <w:numPr>
          <w:ilvl w:val="0"/>
          <w:numId w:val="16"/>
        </w:numPr>
        <w:rPr>
          <w:lang w:eastAsia="pl-PL" w:bidi="pl-PL"/>
        </w:rPr>
      </w:pPr>
      <w:r w:rsidRPr="00927A56">
        <w:rPr>
          <w:lang w:eastAsia="pl-PL" w:bidi="pl-PL"/>
        </w:rPr>
        <w:t>Respondenci są z różnych województw, co wymaga podróży lub organizacji wywiadów zdalnych,</w:t>
      </w:r>
    </w:p>
    <w:p w14:paraId="09E58E87" w14:textId="77777777" w:rsidR="00927A56" w:rsidRPr="00927A56" w:rsidRDefault="00927A56" w:rsidP="00E772F1">
      <w:pPr>
        <w:numPr>
          <w:ilvl w:val="0"/>
          <w:numId w:val="16"/>
        </w:numPr>
        <w:rPr>
          <w:lang w:eastAsia="pl-PL" w:bidi="pl-PL"/>
        </w:rPr>
      </w:pPr>
      <w:r w:rsidRPr="00927A56">
        <w:rPr>
          <w:lang w:eastAsia="pl-PL" w:bidi="pl-PL"/>
        </w:rPr>
        <w:t>Studia przypadku obejmują wizytacje gabinetów w trzech różnych lokalizacjach</w:t>
      </w:r>
    </w:p>
    <w:p w14:paraId="469986EB" w14:textId="77777777" w:rsidR="00927A56" w:rsidRPr="00927A56" w:rsidRDefault="00927A56" w:rsidP="00E772F1">
      <w:pPr>
        <w:numPr>
          <w:ilvl w:val="0"/>
          <w:numId w:val="16"/>
        </w:numPr>
        <w:rPr>
          <w:lang w:eastAsia="pl-PL" w:bidi="pl-PL"/>
        </w:rPr>
      </w:pPr>
      <w:r w:rsidRPr="00927A56">
        <w:rPr>
          <w:lang w:eastAsia="pl-PL" w:bidi="pl-PL"/>
        </w:rPr>
        <w:t>Wymagana jest transkrypcja wszystkich wywiadów.</w:t>
      </w:r>
    </w:p>
    <w:p w14:paraId="0AD9AFDA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Przy standardowych tempie pracy doświadczonych badaczy jakościowych (2-3 wywiady dziennie, następnie transkrypcja i analiza), realizacja tej części wymaga minimum 20-25 dni roboczych.</w:t>
      </w:r>
    </w:p>
    <w:p w14:paraId="5C3C06CD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 xml:space="preserve">Organizacja </w:t>
      </w:r>
      <w:r w:rsidRPr="00927A56">
        <w:rPr>
          <w:b/>
          <w:bCs/>
          <w:lang w:eastAsia="pl-PL" w:bidi="pl-PL"/>
        </w:rPr>
        <w:t>dwóch paneli eksperckich</w:t>
      </w:r>
      <w:r w:rsidRPr="00927A56">
        <w:rPr>
          <w:lang w:eastAsia="pl-PL" w:bidi="pl-PL"/>
        </w:rPr>
        <w:t>, przy konieczności:</w:t>
      </w:r>
    </w:p>
    <w:p w14:paraId="05DDC0B1" w14:textId="77777777" w:rsidR="00927A56" w:rsidRPr="00927A56" w:rsidRDefault="00927A56" w:rsidP="00E772F1">
      <w:pPr>
        <w:numPr>
          <w:ilvl w:val="0"/>
          <w:numId w:val="17"/>
        </w:numPr>
        <w:rPr>
          <w:lang w:eastAsia="pl-PL" w:bidi="pl-PL"/>
        </w:rPr>
      </w:pPr>
      <w:r w:rsidRPr="00927A56">
        <w:rPr>
          <w:lang w:eastAsia="pl-PL" w:bidi="pl-PL"/>
        </w:rPr>
        <w:t>Rekrutacji ekspertów zewnętrznych (minimum 3 osoby),</w:t>
      </w:r>
    </w:p>
    <w:p w14:paraId="2735EE17" w14:textId="77777777" w:rsidR="00927A56" w:rsidRPr="00927A56" w:rsidRDefault="00927A56" w:rsidP="00E772F1">
      <w:pPr>
        <w:numPr>
          <w:ilvl w:val="0"/>
          <w:numId w:val="17"/>
        </w:numPr>
        <w:rPr>
          <w:lang w:eastAsia="pl-PL" w:bidi="pl-PL"/>
        </w:rPr>
      </w:pPr>
      <w:r w:rsidRPr="00927A56">
        <w:rPr>
          <w:lang w:eastAsia="pl-PL" w:bidi="pl-PL"/>
        </w:rPr>
        <w:t>Organizacji cateringu zgodnego ze szczegółowymi wymaganiami OPZ,</w:t>
      </w:r>
    </w:p>
    <w:p w14:paraId="5AFBAD23" w14:textId="77777777" w:rsidR="00927A56" w:rsidRPr="00927A56" w:rsidRDefault="00927A56" w:rsidP="00E772F1">
      <w:pPr>
        <w:numPr>
          <w:ilvl w:val="0"/>
          <w:numId w:val="17"/>
        </w:numPr>
        <w:rPr>
          <w:lang w:eastAsia="pl-PL" w:bidi="pl-PL"/>
        </w:rPr>
      </w:pPr>
      <w:r w:rsidRPr="00927A56">
        <w:rPr>
          <w:lang w:eastAsia="pl-PL" w:bidi="pl-PL"/>
        </w:rPr>
        <w:t>Koordynacji terminu dogodnego dla wszystkich uczestników (do 15 osób),</w:t>
      </w:r>
    </w:p>
    <w:p w14:paraId="042E0E2E" w14:textId="77777777" w:rsidR="00927A56" w:rsidRPr="00927A56" w:rsidRDefault="00927A56" w:rsidP="00E772F1">
      <w:pPr>
        <w:numPr>
          <w:ilvl w:val="0"/>
          <w:numId w:val="17"/>
        </w:numPr>
        <w:rPr>
          <w:lang w:eastAsia="pl-PL" w:bidi="pl-PL"/>
        </w:rPr>
      </w:pPr>
      <w:r w:rsidRPr="00927A56">
        <w:rPr>
          <w:lang w:eastAsia="pl-PL" w:bidi="pl-PL"/>
        </w:rPr>
        <w:t>Przygotowania materiałów i prezentacji,</w:t>
      </w:r>
    </w:p>
    <w:p w14:paraId="75E2B4DA" w14:textId="77777777" w:rsidR="00927A56" w:rsidRPr="00927A56" w:rsidRDefault="00927A56" w:rsidP="00E772F1">
      <w:pPr>
        <w:numPr>
          <w:ilvl w:val="0"/>
          <w:numId w:val="17"/>
        </w:numPr>
        <w:rPr>
          <w:lang w:eastAsia="pl-PL" w:bidi="pl-PL"/>
        </w:rPr>
      </w:pPr>
      <w:r w:rsidRPr="00927A56">
        <w:rPr>
          <w:lang w:eastAsia="pl-PL" w:bidi="pl-PL"/>
        </w:rPr>
        <w:t>Przeprowadzenia spotkania i analizy wyników.</w:t>
      </w:r>
    </w:p>
    <w:p w14:paraId="15410D9A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Organizacja paneli wymaga minimum 10-15 dni roboczych przygotowań, a same panele muszą być odpowiednio rozłożone w czasie, aby wnioski z pierwszego mogły zostać zweryfikowane w badaniach terenowych.</w:t>
      </w:r>
    </w:p>
    <w:p w14:paraId="7BB390E7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Analiza materiału badawczego obejmującego:</w:t>
      </w:r>
    </w:p>
    <w:p w14:paraId="32CAE475" w14:textId="77777777" w:rsidR="00927A56" w:rsidRPr="00927A56" w:rsidRDefault="00927A56" w:rsidP="00E772F1">
      <w:pPr>
        <w:numPr>
          <w:ilvl w:val="0"/>
          <w:numId w:val="18"/>
        </w:numPr>
        <w:rPr>
          <w:lang w:eastAsia="pl-PL" w:bidi="pl-PL"/>
        </w:rPr>
      </w:pPr>
      <w:r w:rsidRPr="00927A56">
        <w:rPr>
          <w:lang w:eastAsia="pl-PL" w:bidi="pl-PL"/>
        </w:rPr>
        <w:t>Dane z 879 wywiadów ilościowych,</w:t>
      </w:r>
    </w:p>
    <w:p w14:paraId="2CAB1DC5" w14:textId="77777777" w:rsidR="00927A56" w:rsidRPr="00927A56" w:rsidRDefault="00927A56" w:rsidP="00E772F1">
      <w:pPr>
        <w:numPr>
          <w:ilvl w:val="0"/>
          <w:numId w:val="18"/>
        </w:numPr>
        <w:rPr>
          <w:lang w:eastAsia="pl-PL" w:bidi="pl-PL"/>
        </w:rPr>
      </w:pPr>
      <w:r w:rsidRPr="00927A56">
        <w:rPr>
          <w:lang w:eastAsia="pl-PL" w:bidi="pl-PL"/>
        </w:rPr>
        <w:t>Transkrypcje z 48 wywiadów jakościowych,</w:t>
      </w:r>
    </w:p>
    <w:p w14:paraId="3BA1CA0F" w14:textId="77777777" w:rsidR="00927A56" w:rsidRPr="00927A56" w:rsidRDefault="00927A56" w:rsidP="00E772F1">
      <w:pPr>
        <w:numPr>
          <w:ilvl w:val="0"/>
          <w:numId w:val="18"/>
        </w:numPr>
        <w:rPr>
          <w:lang w:eastAsia="pl-PL" w:bidi="pl-PL"/>
        </w:rPr>
      </w:pPr>
      <w:r w:rsidRPr="00927A56">
        <w:rPr>
          <w:lang w:eastAsia="pl-PL" w:bidi="pl-PL"/>
        </w:rPr>
        <w:t>Analizę studiów przypadku,</w:t>
      </w:r>
    </w:p>
    <w:p w14:paraId="48D183D4" w14:textId="77777777" w:rsidR="00927A56" w:rsidRPr="00927A56" w:rsidRDefault="00927A56" w:rsidP="00E772F1">
      <w:pPr>
        <w:numPr>
          <w:ilvl w:val="0"/>
          <w:numId w:val="18"/>
        </w:numPr>
        <w:rPr>
          <w:lang w:eastAsia="pl-PL" w:bidi="pl-PL"/>
        </w:rPr>
      </w:pPr>
      <w:r w:rsidRPr="00927A56">
        <w:rPr>
          <w:lang w:eastAsia="pl-PL" w:bidi="pl-PL"/>
        </w:rPr>
        <w:t>Wnioski z paneli eksperckich.</w:t>
      </w:r>
    </w:p>
    <w:p w14:paraId="28BB48D0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 xml:space="preserve">a następnie przygotowanie kompleksowego raportu końcowego (minimum 100 stron) wymaga co najmniej </w:t>
      </w:r>
      <w:r w:rsidRPr="00927A56">
        <w:rPr>
          <w:b/>
          <w:bCs/>
          <w:lang w:eastAsia="pl-PL" w:bidi="pl-PL"/>
        </w:rPr>
        <w:t>15-20 dni roboczych</w:t>
      </w:r>
      <w:r w:rsidRPr="00927A56">
        <w:rPr>
          <w:lang w:eastAsia="pl-PL" w:bidi="pl-PL"/>
        </w:rPr>
        <w:t>, co również nie mieści się w przewidzianym harmonogramie.</w:t>
      </w:r>
    </w:p>
    <w:p w14:paraId="33E52383" w14:textId="77777777" w:rsidR="00927A56" w:rsidRPr="00927A56" w:rsidRDefault="00927A56" w:rsidP="00E772F1">
      <w:pPr>
        <w:rPr>
          <w:lang w:eastAsia="pl-PL" w:bidi="pl-PL"/>
        </w:rPr>
      </w:pPr>
      <w:r w:rsidRPr="00927A56">
        <w:rPr>
          <w:lang w:eastAsia="pl-PL" w:bidi="pl-PL"/>
        </w:rPr>
        <w:t>W związku z powyższymi argumentami, proponujemy następujące modyfikacje harmonogramu realizacji badania:</w:t>
      </w:r>
    </w:p>
    <w:p w14:paraId="78902B28" w14:textId="77777777" w:rsidR="00927A56" w:rsidRPr="00927A56" w:rsidRDefault="00927A56" w:rsidP="00E772F1">
      <w:pPr>
        <w:numPr>
          <w:ilvl w:val="0"/>
          <w:numId w:val="19"/>
        </w:numPr>
        <w:rPr>
          <w:lang w:eastAsia="pl-PL" w:bidi="pl-PL"/>
        </w:rPr>
      </w:pPr>
      <w:r w:rsidRPr="00927A56">
        <w:rPr>
          <w:b/>
          <w:bCs/>
          <w:lang w:eastAsia="pl-PL" w:bidi="pl-PL"/>
        </w:rPr>
        <w:t>Wydłużenie czasu na realizację badań terenowych do 75 dni roboczych</w:t>
      </w:r>
      <w:r w:rsidRPr="00927A56">
        <w:rPr>
          <w:lang w:eastAsia="pl-PL" w:bidi="pl-PL"/>
        </w:rPr>
        <w:t xml:space="preserve"> (zamiast 30).</w:t>
      </w:r>
    </w:p>
    <w:p w14:paraId="4DD4A42D" w14:textId="77777777" w:rsidR="00927A56" w:rsidRPr="00927A56" w:rsidRDefault="00927A56" w:rsidP="00E772F1">
      <w:pPr>
        <w:numPr>
          <w:ilvl w:val="0"/>
          <w:numId w:val="19"/>
        </w:numPr>
        <w:rPr>
          <w:lang w:eastAsia="pl-PL" w:bidi="pl-PL"/>
        </w:rPr>
      </w:pPr>
      <w:r w:rsidRPr="00927A56">
        <w:rPr>
          <w:b/>
          <w:bCs/>
          <w:lang w:eastAsia="pl-PL" w:bidi="pl-PL"/>
        </w:rPr>
        <w:t>Rozdzielenie etapu badań terenowych na dwa podokresy</w:t>
      </w:r>
      <w:r w:rsidRPr="00927A56">
        <w:rPr>
          <w:lang w:eastAsia="pl-PL" w:bidi="pl-PL"/>
        </w:rPr>
        <w:t xml:space="preserve">: </w:t>
      </w:r>
    </w:p>
    <w:p w14:paraId="71AB3BEB" w14:textId="77777777" w:rsidR="00927A56" w:rsidRPr="00927A56" w:rsidRDefault="00927A56" w:rsidP="008A0C42">
      <w:pPr>
        <w:numPr>
          <w:ilvl w:val="0"/>
          <w:numId w:val="20"/>
        </w:numPr>
        <w:ind w:left="1134"/>
        <w:rPr>
          <w:lang w:eastAsia="pl-PL" w:bidi="pl-PL"/>
        </w:rPr>
      </w:pPr>
      <w:r w:rsidRPr="00927A56">
        <w:rPr>
          <w:lang w:eastAsia="pl-PL" w:bidi="pl-PL"/>
        </w:rPr>
        <w:t>60 dni na realizację badań terenowych (ilościowych i jakościowych).</w:t>
      </w:r>
    </w:p>
    <w:p w14:paraId="5126A3F3" w14:textId="77777777" w:rsidR="00927A56" w:rsidRPr="00927A56" w:rsidRDefault="00927A56" w:rsidP="008A0C42">
      <w:pPr>
        <w:numPr>
          <w:ilvl w:val="0"/>
          <w:numId w:val="20"/>
        </w:numPr>
        <w:ind w:left="1134"/>
        <w:rPr>
          <w:lang w:eastAsia="pl-PL" w:bidi="pl-PL"/>
        </w:rPr>
      </w:pPr>
      <w:r w:rsidRPr="00927A56">
        <w:rPr>
          <w:lang w:eastAsia="pl-PL" w:bidi="pl-PL"/>
        </w:rPr>
        <w:t>15 dni na analizę danych i przygotowanie pierwszej wersji raportu końcowego.</w:t>
      </w:r>
    </w:p>
    <w:p w14:paraId="526C8B9A" w14:textId="77777777" w:rsidR="00927A56" w:rsidRPr="00927A56" w:rsidRDefault="00927A56" w:rsidP="00E772F1">
      <w:pPr>
        <w:numPr>
          <w:ilvl w:val="0"/>
          <w:numId w:val="19"/>
        </w:numPr>
        <w:rPr>
          <w:lang w:eastAsia="pl-PL" w:bidi="pl-PL"/>
        </w:rPr>
      </w:pPr>
      <w:r w:rsidRPr="00927A56">
        <w:rPr>
          <w:b/>
          <w:bCs/>
          <w:lang w:eastAsia="pl-PL" w:bidi="pl-PL"/>
        </w:rPr>
        <w:t>Wydłużenie całkowitego czasu realizacji badania do 131 dni roboczych</w:t>
      </w:r>
      <w:r w:rsidRPr="00927A56">
        <w:rPr>
          <w:lang w:eastAsia="pl-PL" w:bidi="pl-PL"/>
        </w:rPr>
        <w:t xml:space="preserve"> (zamiast 86)</w:t>
      </w:r>
    </w:p>
    <w:p w14:paraId="59CB5D60" w14:textId="77777777" w:rsidR="00927A56" w:rsidRPr="00927A56" w:rsidRDefault="00927A56" w:rsidP="008A0C42">
      <w:pPr>
        <w:spacing w:after="1080"/>
        <w:contextualSpacing w:val="0"/>
        <w:rPr>
          <w:lang w:eastAsia="pl-PL" w:bidi="pl-PL"/>
        </w:rPr>
      </w:pPr>
      <w:r w:rsidRPr="00927A56">
        <w:rPr>
          <w:lang w:eastAsia="pl-PL" w:bidi="pl-PL"/>
        </w:rPr>
        <w:t>Wyrażamy przekonanie, że proponowane zmiany harmonogramu pozwolą na realizację badania zgodnie z najwyższymi standardami badawczymi, a jednocześnie zapewnią osiągnięcie wszystkich celów badania wskazanych przez Zamawiającego.</w:t>
      </w:r>
    </w:p>
    <w:p w14:paraId="537284FB" w14:textId="77777777" w:rsidR="00676615" w:rsidRDefault="00676615" w:rsidP="00676615">
      <w:pPr>
        <w:pStyle w:val="Nagwek3"/>
        <w:contextualSpacing w:val="0"/>
        <w:rPr>
          <w:lang w:eastAsia="pl-PL" w:bidi="pl-PL"/>
        </w:rPr>
      </w:pPr>
      <w:r>
        <w:rPr>
          <w:lang w:eastAsia="pl-PL" w:bidi="pl-PL"/>
        </w:rPr>
        <w:lastRenderedPageBreak/>
        <w:t>Odpowiedź</w:t>
      </w:r>
      <w:r w:rsidRPr="003E791D">
        <w:rPr>
          <w:lang w:eastAsia="pl-PL" w:bidi="pl-PL"/>
        </w:rPr>
        <w:t>:</w:t>
      </w:r>
    </w:p>
    <w:p w14:paraId="6B6482B3" w14:textId="77777777" w:rsidR="00676615" w:rsidRDefault="00676615" w:rsidP="00E772F1">
      <w:pPr>
        <w:pStyle w:val="Default"/>
        <w:spacing w:after="120" w:line="276" w:lineRule="auto"/>
        <w:contextualSpacing/>
        <w:rPr>
          <w:rFonts w:asciiTheme="minorHAnsi" w:hAnsiTheme="minorHAnsi" w:cstheme="minorHAnsi"/>
          <w:color w:val="auto"/>
          <w:lang w:eastAsia="pl-PL" w:bidi="pl-PL"/>
          <w14:ligatures w14:val="none"/>
        </w:rPr>
      </w:pPr>
      <w:r w:rsidRPr="00B617C5">
        <w:rPr>
          <w:rFonts w:asciiTheme="minorHAnsi" w:hAnsiTheme="minorHAnsi" w:cstheme="minorHAnsi"/>
          <w:color w:val="auto"/>
          <w:lang w:eastAsia="pl-PL" w:bidi="pl-PL"/>
          <w14:ligatures w14:val="none"/>
        </w:rPr>
        <w:t>Z uwagi na harmonogram realizacji projektu i potrzebę uwzględnienia wyników badania przy opracowywaniu standardu dostępności gabinetów stomatologicznych, Zamawiający może wydłużyć etap „Przeprowadzenie pierwszego panelu eksperckiego, badań terenowych, analiza, opracowanie wyników, przeprowadzenie drugiego panelu eksperckiego i</w:t>
      </w:r>
      <w:r>
        <w:rPr>
          <w:rFonts w:asciiTheme="minorHAnsi" w:hAnsiTheme="minorHAnsi" w:cstheme="minorHAnsi"/>
          <w:color w:val="auto"/>
          <w:lang w:eastAsia="pl-PL" w:bidi="pl-PL"/>
          <w14:ligatures w14:val="none"/>
        </w:rPr>
        <w:t> </w:t>
      </w:r>
      <w:r w:rsidRPr="00B617C5">
        <w:rPr>
          <w:rFonts w:asciiTheme="minorHAnsi" w:hAnsiTheme="minorHAnsi" w:cstheme="minorHAnsi"/>
          <w:color w:val="auto"/>
          <w:lang w:eastAsia="pl-PL" w:bidi="pl-PL"/>
          <w14:ligatures w14:val="none"/>
        </w:rPr>
        <w:t xml:space="preserve">przekazanie Zamawiającemu pierwszej wersji raportu końcowego” </w:t>
      </w:r>
      <w:r>
        <w:rPr>
          <w:rFonts w:asciiTheme="minorHAnsi" w:hAnsiTheme="minorHAnsi" w:cstheme="minorHAnsi"/>
          <w:color w:val="auto"/>
          <w:lang w:eastAsia="pl-PL" w:bidi="pl-PL"/>
          <w14:ligatures w14:val="none"/>
        </w:rPr>
        <w:t xml:space="preserve">maksymalnie </w:t>
      </w:r>
      <w:r w:rsidRPr="00B617C5">
        <w:rPr>
          <w:rFonts w:asciiTheme="minorHAnsi" w:hAnsiTheme="minorHAnsi" w:cstheme="minorHAnsi"/>
          <w:color w:val="auto"/>
          <w:lang w:eastAsia="pl-PL" w:bidi="pl-PL"/>
          <w14:ligatures w14:val="none"/>
        </w:rPr>
        <w:t>do 40 dni roboczych.</w:t>
      </w:r>
      <w:r>
        <w:rPr>
          <w:rFonts w:asciiTheme="minorHAnsi" w:hAnsiTheme="minorHAnsi" w:cstheme="minorHAnsi"/>
          <w:color w:val="auto"/>
          <w:lang w:eastAsia="pl-PL" w:bidi="pl-PL"/>
          <w14:ligatures w14:val="none"/>
        </w:rPr>
        <w:t xml:space="preserve"> Tym samym całkowity czas realizacji badania zostanie wydłużony do 96 dni roboczych.</w:t>
      </w:r>
    </w:p>
    <w:p w14:paraId="17904194" w14:textId="0B98758C" w:rsidR="00BB13F6" w:rsidRPr="006C4BE8" w:rsidRDefault="00BB13F6" w:rsidP="00BB13F6">
      <w:pPr>
        <w:pStyle w:val="Nagwek3"/>
        <w:contextualSpacing w:val="0"/>
        <w:rPr>
          <w:lang w:eastAsia="pl-PL" w:bidi="pl-PL"/>
        </w:rPr>
      </w:pPr>
      <w:r w:rsidRPr="006C4BE8">
        <w:rPr>
          <w:lang w:eastAsia="pl-PL" w:bidi="pl-PL"/>
        </w:rPr>
        <w:t>Pytanie 2</w:t>
      </w:r>
      <w:r w:rsidR="00E772F1" w:rsidRPr="006C4BE8">
        <w:rPr>
          <w:lang w:eastAsia="pl-PL" w:bidi="pl-PL"/>
        </w:rPr>
        <w:t xml:space="preserve"> i 3</w:t>
      </w:r>
      <w:r w:rsidRPr="006C4BE8">
        <w:rPr>
          <w:lang w:eastAsia="pl-PL" w:bidi="pl-PL"/>
        </w:rPr>
        <w:t>:</w:t>
      </w:r>
    </w:p>
    <w:p w14:paraId="3DDCE67C" w14:textId="77777777" w:rsidR="00E772F1" w:rsidRPr="006C4BE8" w:rsidRDefault="00E772F1" w:rsidP="006C4BE8">
      <w:pPr>
        <w:contextualSpacing w:val="0"/>
        <w:rPr>
          <w:lang w:eastAsia="pl-PL" w:bidi="pl-PL"/>
        </w:rPr>
      </w:pPr>
      <w:r w:rsidRPr="006C4BE8">
        <w:rPr>
          <w:lang w:eastAsia="pl-PL" w:bidi="pl-PL"/>
        </w:rPr>
        <w:t>Jednocześnie prosimy o informację nt. szacunkowego kosztu realizacji zamówienia oraz kwoty, jaką Zamawiający zamierza przeznaczyć na zamówienie.</w:t>
      </w:r>
    </w:p>
    <w:p w14:paraId="783271EF" w14:textId="3801F909" w:rsidR="00BB13F6" w:rsidRPr="006C4BE8" w:rsidRDefault="00BB13F6" w:rsidP="006C4BE8">
      <w:pPr>
        <w:rPr>
          <w:b/>
          <w:bCs/>
          <w:lang w:eastAsia="pl-PL" w:bidi="pl-PL"/>
        </w:rPr>
      </w:pPr>
      <w:r w:rsidRPr="006C4BE8">
        <w:rPr>
          <w:lang w:eastAsia="pl-PL" w:bidi="pl-PL"/>
        </w:rPr>
        <w:t>Dzień dobry, zwracam się z prośbą o podanie szacunkowej wartości zamówienia.</w:t>
      </w:r>
    </w:p>
    <w:p w14:paraId="43F55F75" w14:textId="66697ECD" w:rsidR="00BB13F6" w:rsidRPr="006C4BE8" w:rsidRDefault="00BB13F6" w:rsidP="00BB13F6">
      <w:pPr>
        <w:pStyle w:val="Nagwek3"/>
        <w:contextualSpacing w:val="0"/>
        <w:rPr>
          <w:lang w:eastAsia="pl-PL" w:bidi="pl-PL"/>
        </w:rPr>
      </w:pPr>
      <w:r w:rsidRPr="006C4BE8">
        <w:rPr>
          <w:lang w:eastAsia="pl-PL" w:bidi="pl-PL"/>
        </w:rPr>
        <w:t>Odpowiedź:</w:t>
      </w:r>
    </w:p>
    <w:p w14:paraId="64FBB042" w14:textId="15869EF8" w:rsidR="008671F3" w:rsidRPr="006C4BE8" w:rsidRDefault="008671F3" w:rsidP="008A0C42">
      <w:pPr>
        <w:contextualSpacing w:val="0"/>
        <w:rPr>
          <w:lang w:eastAsia="pl-PL" w:bidi="pl-PL"/>
        </w:rPr>
      </w:pPr>
      <w:r w:rsidRPr="006C4BE8">
        <w:rPr>
          <w:lang w:eastAsia="pl-PL" w:bidi="pl-PL"/>
        </w:rPr>
        <w:t>Zamawiający</w:t>
      </w:r>
      <w:r w:rsidR="00F832B5">
        <w:rPr>
          <w:lang w:eastAsia="pl-PL" w:bidi="pl-PL"/>
        </w:rPr>
        <w:t>,</w:t>
      </w:r>
      <w:r w:rsidRPr="006C4BE8">
        <w:rPr>
          <w:lang w:eastAsia="pl-PL" w:bidi="pl-PL"/>
        </w:rPr>
        <w:t xml:space="preserve"> </w:t>
      </w:r>
      <w:r w:rsidR="008A0C42">
        <w:rPr>
          <w:lang w:eastAsia="pl-PL" w:bidi="pl-PL"/>
        </w:rPr>
        <w:t>w trosce o ochronę uczciwej konkurencji</w:t>
      </w:r>
      <w:r w:rsidR="00F832B5">
        <w:rPr>
          <w:lang w:eastAsia="pl-PL" w:bidi="pl-PL"/>
        </w:rPr>
        <w:t xml:space="preserve"> i </w:t>
      </w:r>
      <w:r w:rsidR="008A0C42">
        <w:rPr>
          <w:lang w:eastAsia="pl-PL" w:bidi="pl-PL"/>
        </w:rPr>
        <w:t>zapobieganie wpływowi tej informacji na kalkulacje cenowe wykonawców</w:t>
      </w:r>
      <w:r w:rsidR="00F832B5">
        <w:rPr>
          <w:lang w:eastAsia="pl-PL" w:bidi="pl-PL"/>
        </w:rPr>
        <w:t>,</w:t>
      </w:r>
      <w:r w:rsidR="008A0C42">
        <w:rPr>
          <w:lang w:eastAsia="pl-PL" w:bidi="pl-PL"/>
        </w:rPr>
        <w:t xml:space="preserve"> </w:t>
      </w:r>
      <w:r w:rsidR="00E018D3">
        <w:rPr>
          <w:lang w:eastAsia="pl-PL" w:bidi="pl-PL"/>
        </w:rPr>
        <w:t xml:space="preserve">odstępuje od podania </w:t>
      </w:r>
      <w:r w:rsidRPr="006C4BE8">
        <w:rPr>
          <w:lang w:eastAsia="pl-PL" w:bidi="pl-PL"/>
        </w:rPr>
        <w:t>szacunkow</w:t>
      </w:r>
      <w:r w:rsidR="00E018D3">
        <w:rPr>
          <w:lang w:eastAsia="pl-PL" w:bidi="pl-PL"/>
        </w:rPr>
        <w:t>ej</w:t>
      </w:r>
      <w:r w:rsidRPr="006C4BE8">
        <w:rPr>
          <w:lang w:eastAsia="pl-PL" w:bidi="pl-PL"/>
        </w:rPr>
        <w:t xml:space="preserve"> wartoś</w:t>
      </w:r>
      <w:r w:rsidR="00E018D3">
        <w:rPr>
          <w:lang w:eastAsia="pl-PL" w:bidi="pl-PL"/>
        </w:rPr>
        <w:t>ci</w:t>
      </w:r>
      <w:r w:rsidR="008A0C42">
        <w:rPr>
          <w:lang w:eastAsia="pl-PL" w:bidi="pl-PL"/>
        </w:rPr>
        <w:t xml:space="preserve"> zamówienia.</w:t>
      </w:r>
    </w:p>
    <w:p w14:paraId="42BBF4B6" w14:textId="35EAB47D" w:rsidR="00BB13F6" w:rsidRPr="00BB13F6" w:rsidRDefault="00BB13F6" w:rsidP="00BB13F6">
      <w:pPr>
        <w:contextualSpacing w:val="0"/>
        <w:rPr>
          <w:lang w:eastAsia="pl-PL" w:bidi="pl-PL"/>
        </w:rPr>
      </w:pPr>
      <w:r w:rsidRPr="006C4BE8">
        <w:rPr>
          <w:lang w:eastAsia="pl-PL" w:bidi="pl-PL"/>
        </w:rPr>
        <w:t xml:space="preserve">Kwota, jaką Zamawiający zamierza przeznaczyć na wykonanie zamówienia, zostanie podana przed otwarciem ofert, zgodnie z treścią art. 222 ust. 4 ustawy z dnia 11 września 2019 r. </w:t>
      </w:r>
      <w:r w:rsidR="00887A4E" w:rsidRPr="006C4BE8">
        <w:rPr>
          <w:lang w:eastAsia="pl-PL" w:bidi="pl-PL"/>
        </w:rPr>
        <w:t>P</w:t>
      </w:r>
      <w:r w:rsidRPr="006C4BE8">
        <w:rPr>
          <w:lang w:eastAsia="pl-PL" w:bidi="pl-PL"/>
        </w:rPr>
        <w:t xml:space="preserve">rawo </w:t>
      </w:r>
      <w:r w:rsidR="00771981" w:rsidRPr="006C4BE8">
        <w:rPr>
          <w:lang w:eastAsia="pl-PL" w:bidi="pl-PL"/>
        </w:rPr>
        <w:t>z</w:t>
      </w:r>
      <w:r w:rsidRPr="006C4BE8">
        <w:rPr>
          <w:lang w:eastAsia="pl-PL" w:bidi="pl-PL"/>
        </w:rPr>
        <w:t xml:space="preserve">amówień </w:t>
      </w:r>
      <w:r w:rsidR="00771981" w:rsidRPr="006C4BE8">
        <w:rPr>
          <w:lang w:eastAsia="pl-PL" w:bidi="pl-PL"/>
        </w:rPr>
        <w:t>p</w:t>
      </w:r>
      <w:r w:rsidRPr="006C4BE8">
        <w:rPr>
          <w:lang w:eastAsia="pl-PL" w:bidi="pl-PL"/>
        </w:rPr>
        <w:t>ublicznych.</w:t>
      </w:r>
    </w:p>
    <w:p w14:paraId="76FEAE23" w14:textId="73CACED8" w:rsidR="00676615" w:rsidRPr="00CA4060" w:rsidRDefault="00676615" w:rsidP="00676615">
      <w:pPr>
        <w:pStyle w:val="Nagwek3"/>
      </w:pPr>
      <w:r w:rsidRPr="00CA4060">
        <w:t>Dodatkowo:</w:t>
      </w:r>
    </w:p>
    <w:p w14:paraId="0DF14B0F" w14:textId="63D43A9E" w:rsidR="001E5C49" w:rsidRPr="001E5C49" w:rsidRDefault="001E5C49" w:rsidP="00E772F1">
      <w:pPr>
        <w:contextualSpacing w:val="0"/>
      </w:pPr>
      <w:r>
        <w:t xml:space="preserve">W związku z udzielonymi odpowiedziami Zamawiający zgodnie </w:t>
      </w:r>
      <w:r w:rsidR="00B617C5" w:rsidRPr="00676615">
        <w:t>z art. 286 ust. 1 ustawy z dnia 11 września 2019 r. Prawo zamówień publicznych (Dz. U. z 2024 r., poz. 1320)</w:t>
      </w:r>
      <w:r>
        <w:t xml:space="preserve"> </w:t>
      </w:r>
      <w:r w:rsidR="00B617C5" w:rsidRPr="00676615">
        <w:t>dokonał następującej zmiany treści Specyfikacji Warunków Zamówienia (SWZ)</w:t>
      </w:r>
      <w:r>
        <w:t xml:space="preserve"> i załączników do SWZ</w:t>
      </w:r>
      <w:r w:rsidRPr="001E5C49">
        <w:t xml:space="preserve"> </w:t>
      </w:r>
      <w:r w:rsidRPr="002F73A4">
        <w:rPr>
          <w:b/>
          <w:bCs/>
          <w:color w:val="004E9A"/>
        </w:rPr>
        <w:t>(zmiany zaznaczone na niebiesko)</w:t>
      </w:r>
      <w:r w:rsidRPr="001E5C49">
        <w:t>:</w:t>
      </w:r>
    </w:p>
    <w:p w14:paraId="7E7ACBFD" w14:textId="46C8F691" w:rsidR="0050502C" w:rsidRDefault="0050502C" w:rsidP="001E5C49">
      <w:pPr>
        <w:pStyle w:val="Nagwek4"/>
        <w:numPr>
          <w:ilvl w:val="0"/>
          <w:numId w:val="24"/>
        </w:numPr>
      </w:pPr>
      <w:r>
        <w:t>Rozdział 8 SWZ (Termin wykonania zamówienia) otrzymuje brzmienie:</w:t>
      </w:r>
    </w:p>
    <w:p w14:paraId="5E6FB24E" w14:textId="5CFDB1D0" w:rsidR="0050502C" w:rsidRPr="00AA7A19" w:rsidRDefault="0050502C" w:rsidP="00E772F1">
      <w:pPr>
        <w:contextualSpacing w:val="0"/>
        <w:rPr>
          <w:rFonts w:ascii="Calibri" w:hAnsi="Calibri" w:cs="Calibri"/>
        </w:rPr>
      </w:pPr>
      <w:r w:rsidRPr="00AA7A19">
        <w:rPr>
          <w:rFonts w:ascii="Calibri" w:hAnsi="Calibri" w:cs="Calibri"/>
        </w:rPr>
        <w:t xml:space="preserve">Termin realizacji usługi to maksymalnie </w:t>
      </w:r>
      <w:r w:rsidRPr="002F73A4">
        <w:rPr>
          <w:rFonts w:ascii="Calibri" w:hAnsi="Calibri" w:cs="Calibri"/>
          <w:b/>
          <w:bCs/>
          <w:color w:val="004E9A"/>
        </w:rPr>
        <w:t>96</w:t>
      </w:r>
      <w:r w:rsidRPr="001E5C49">
        <w:rPr>
          <w:rFonts w:ascii="Calibri" w:hAnsi="Calibri" w:cs="Calibri"/>
          <w:color w:val="4472C4" w:themeColor="accent1"/>
        </w:rPr>
        <w:t xml:space="preserve"> </w:t>
      </w:r>
      <w:r>
        <w:rPr>
          <w:rFonts w:ascii="Calibri" w:hAnsi="Calibri" w:cs="Calibri"/>
        </w:rPr>
        <w:t>dni</w:t>
      </w:r>
      <w:r w:rsidRPr="00AA7A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roboczych </w:t>
      </w:r>
      <w:r w:rsidRPr="00AA7A19">
        <w:rPr>
          <w:rFonts w:ascii="Calibri" w:hAnsi="Calibri" w:cs="Calibri"/>
        </w:rPr>
        <w:t>od daty zawarcia umowy.</w:t>
      </w:r>
    </w:p>
    <w:p w14:paraId="615F2691" w14:textId="31BF88BC" w:rsidR="00B617C5" w:rsidRDefault="00B617C5" w:rsidP="001E5C49">
      <w:pPr>
        <w:pStyle w:val="Nagwek4"/>
        <w:numPr>
          <w:ilvl w:val="0"/>
          <w:numId w:val="24"/>
        </w:numPr>
      </w:pPr>
      <w:bookmarkStart w:id="4" w:name="_Hlk198013079"/>
      <w:r>
        <w:t>Rozdział X</w:t>
      </w:r>
      <w:r w:rsidR="0050502C">
        <w:t xml:space="preserve"> </w:t>
      </w:r>
      <w:r w:rsidR="00771981" w:rsidRPr="00771981">
        <w:t>Opis Przedmiotu Zamówienia</w:t>
      </w:r>
      <w:r w:rsidR="0050502C">
        <w:t xml:space="preserve"> </w:t>
      </w:r>
      <w:bookmarkEnd w:id="4"/>
      <w:r w:rsidR="0050502C">
        <w:t>(zał</w:t>
      </w:r>
      <w:r w:rsidR="00CD40D6">
        <w:t>ącznika</w:t>
      </w:r>
      <w:r w:rsidR="0050502C">
        <w:t xml:space="preserve"> nr 2 do SWZ) </w:t>
      </w:r>
      <w:r w:rsidR="00CD40D6">
        <w:t>o</w:t>
      </w:r>
      <w:r>
        <w:t>trzymuje brzmienie:</w:t>
      </w:r>
    </w:p>
    <w:p w14:paraId="2711FFA8" w14:textId="30AB7ECA" w:rsidR="0050502C" w:rsidRPr="00180A81" w:rsidRDefault="0050502C" w:rsidP="00F832B5">
      <w:pPr>
        <w:pStyle w:val="Default"/>
        <w:tabs>
          <w:tab w:val="left" w:pos="284"/>
        </w:tabs>
        <w:spacing w:after="1200" w:line="276" w:lineRule="auto"/>
        <w:rPr>
          <w:color w:val="auto"/>
        </w:rPr>
      </w:pPr>
      <w:r w:rsidRPr="00180A81">
        <w:rPr>
          <w:color w:val="auto"/>
        </w:rPr>
        <w:t xml:space="preserve">Badanie zostanie zrealizowane w terminie maksymalnie do </w:t>
      </w:r>
      <w:r w:rsidRPr="002F73A4">
        <w:rPr>
          <w:b/>
          <w:bCs/>
          <w:color w:val="004E9A"/>
          <w14:ligatures w14:val="none"/>
        </w:rPr>
        <w:t>96</w:t>
      </w:r>
      <w:r w:rsidRPr="001E5C49">
        <w:rPr>
          <w:color w:val="4472C4" w:themeColor="accent1"/>
          <w14:ligatures w14:val="none"/>
        </w:rPr>
        <w:t xml:space="preserve"> </w:t>
      </w:r>
      <w:r w:rsidRPr="00180A81">
        <w:rPr>
          <w:color w:val="auto"/>
        </w:rPr>
        <w:t>dni roboczych od dnia podpisania Umowy, zgodnie z harmonogramem realizacji badania złożonym przez Wykonawcę wraz z raportem metodologicznym.</w:t>
      </w:r>
    </w:p>
    <w:p w14:paraId="78898587" w14:textId="77777777" w:rsidR="0050502C" w:rsidRPr="00120ED2" w:rsidRDefault="0050502C" w:rsidP="00E772F1">
      <w:pPr>
        <w:contextualSpacing w:val="0"/>
      </w:pPr>
      <w:r w:rsidRPr="00120ED2">
        <w:lastRenderedPageBreak/>
        <w:t>Przy czym:</w:t>
      </w:r>
    </w:p>
    <w:p w14:paraId="4ED48068" w14:textId="77777777" w:rsidR="0050502C" w:rsidRPr="00120ED2" w:rsidRDefault="0050502C" w:rsidP="00E772F1">
      <w:pPr>
        <w:pStyle w:val="Akapitzlist"/>
        <w:numPr>
          <w:ilvl w:val="0"/>
          <w:numId w:val="21"/>
        </w:numPr>
        <w:contextualSpacing w:val="0"/>
      </w:pPr>
      <w:r w:rsidRPr="00120ED2">
        <w:t>przekazanie pierwszej wersji raportu metodologicznego – nie później niż do 13 dni roboczych po podpisaniu umowy,</w:t>
      </w:r>
    </w:p>
    <w:p w14:paraId="494EF311" w14:textId="77777777" w:rsidR="0050502C" w:rsidRPr="001E5C49" w:rsidRDefault="0050502C" w:rsidP="00E772F1">
      <w:pPr>
        <w:pStyle w:val="Akapitzlist"/>
        <w:numPr>
          <w:ilvl w:val="0"/>
          <w:numId w:val="21"/>
        </w:numPr>
        <w:contextualSpacing w:val="0"/>
      </w:pPr>
      <w:r w:rsidRPr="001E5C49">
        <w:t>przekazanie ostatecznej wersji raportu metodologicznego – nie później niż do 28 dni roboczych po podpisaniu umowy,</w:t>
      </w:r>
    </w:p>
    <w:p w14:paraId="74CFB27B" w14:textId="3E2BE692" w:rsidR="0050502C" w:rsidRPr="001E5C49" w:rsidRDefault="0050502C" w:rsidP="00E772F1">
      <w:pPr>
        <w:pStyle w:val="Akapitzlist"/>
        <w:numPr>
          <w:ilvl w:val="0"/>
          <w:numId w:val="21"/>
        </w:numPr>
        <w:contextualSpacing w:val="0"/>
      </w:pPr>
      <w:r w:rsidRPr="001E5C49">
        <w:t xml:space="preserve">przekazanie pierwszej wersji raportu końcowego – nie później niż do </w:t>
      </w:r>
      <w:r w:rsidRPr="002F73A4">
        <w:rPr>
          <w:b/>
          <w:bCs/>
          <w:color w:val="004E9A"/>
        </w:rPr>
        <w:t>71</w:t>
      </w:r>
      <w:r w:rsidRPr="001E5C49">
        <w:t xml:space="preserve"> dni roboczych po podpisaniu umowy,</w:t>
      </w:r>
    </w:p>
    <w:p w14:paraId="5EFF1AAF" w14:textId="35394B0D" w:rsidR="0050502C" w:rsidRPr="001E5C49" w:rsidRDefault="0050502C" w:rsidP="00E772F1">
      <w:pPr>
        <w:pStyle w:val="Akapitzlist"/>
        <w:numPr>
          <w:ilvl w:val="0"/>
          <w:numId w:val="21"/>
        </w:numPr>
        <w:contextualSpacing w:val="0"/>
      </w:pPr>
      <w:r w:rsidRPr="001E5C49">
        <w:t xml:space="preserve">przekazanie ostatecznej wersji raportu końcowego – nie później niż do </w:t>
      </w:r>
      <w:r w:rsidRPr="002F73A4">
        <w:rPr>
          <w:b/>
          <w:bCs/>
          <w:color w:val="004E9A"/>
        </w:rPr>
        <w:t>86</w:t>
      </w:r>
      <w:r w:rsidRPr="001E5C49">
        <w:t xml:space="preserve"> dni roboczych po podpisaniu umowy,</w:t>
      </w:r>
    </w:p>
    <w:p w14:paraId="7BAF8B1B" w14:textId="77777777" w:rsidR="0050502C" w:rsidRPr="00120ED2" w:rsidRDefault="0050502C" w:rsidP="00E772F1">
      <w:pPr>
        <w:pStyle w:val="Akapitzlist"/>
        <w:numPr>
          <w:ilvl w:val="0"/>
          <w:numId w:val="21"/>
        </w:numPr>
        <w:contextualSpacing w:val="0"/>
      </w:pPr>
      <w:r w:rsidRPr="001E5C49">
        <w:t>przekazanie prezentacji końcowej – nie później niż do 3 dni roboczych od dnia</w:t>
      </w:r>
      <w:r w:rsidRPr="00120ED2">
        <w:t xml:space="preserve"> zatwierdzenia raportu końcowego.</w:t>
      </w:r>
    </w:p>
    <w:p w14:paraId="18787B5B" w14:textId="77777777" w:rsidR="0050502C" w:rsidRDefault="0050502C" w:rsidP="00E772F1">
      <w:pPr>
        <w:pStyle w:val="Default"/>
        <w:tabs>
          <w:tab w:val="left" w:pos="284"/>
        </w:tabs>
        <w:spacing w:after="120" w:line="276" w:lineRule="auto"/>
        <w:rPr>
          <w:color w:val="auto"/>
        </w:rPr>
      </w:pPr>
      <w:r w:rsidRPr="00180A81">
        <w:rPr>
          <w:color w:val="auto"/>
        </w:rPr>
        <w:t>Ramowy harmonogram realizacji badania:</w:t>
      </w:r>
    </w:p>
    <w:tbl>
      <w:tblPr>
        <w:tblW w:w="9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Harmonogram realizacji badania"/>
      </w:tblPr>
      <w:tblGrid>
        <w:gridCol w:w="691"/>
        <w:gridCol w:w="5790"/>
        <w:gridCol w:w="1491"/>
        <w:gridCol w:w="1542"/>
      </w:tblGrid>
      <w:tr w:rsidR="0050502C" w:rsidRPr="00120ED2" w14:paraId="7FFE806A" w14:textId="77777777" w:rsidTr="002306D0">
        <w:trPr>
          <w:tblHeader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686C" w14:textId="77777777" w:rsidR="0050502C" w:rsidRPr="00120ED2" w:rsidRDefault="0050502C" w:rsidP="002306D0">
            <w:pPr>
              <w:spacing w:before="40" w:after="40" w:line="240" w:lineRule="auto"/>
              <w:rPr>
                <w:b/>
                <w:bCs/>
              </w:rPr>
            </w:pPr>
            <w:bookmarkStart w:id="5" w:name="_Hlk130992828"/>
            <w:r w:rsidRPr="00120ED2">
              <w:rPr>
                <w:rFonts w:eastAsiaTheme="minorEastAsia"/>
                <w:b/>
                <w:bCs/>
              </w:rPr>
              <w:t>Lp.</w:t>
            </w: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C216" w14:textId="77777777" w:rsidR="0050502C" w:rsidRPr="00120ED2" w:rsidRDefault="0050502C" w:rsidP="002306D0">
            <w:pPr>
              <w:spacing w:before="40" w:after="40" w:line="240" w:lineRule="auto"/>
              <w:rPr>
                <w:rFonts w:eastAsiaTheme="minorEastAsia"/>
                <w:b/>
                <w:bCs/>
              </w:rPr>
            </w:pPr>
            <w:r w:rsidRPr="00120ED2">
              <w:rPr>
                <w:rFonts w:eastAsiaTheme="minorEastAsia"/>
                <w:b/>
                <w:bCs/>
              </w:rPr>
              <w:t>Czynność/zadanie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B170" w14:textId="77777777" w:rsidR="0050502C" w:rsidRPr="00120ED2" w:rsidRDefault="0050502C" w:rsidP="002306D0">
            <w:pPr>
              <w:spacing w:before="40" w:after="40" w:line="240" w:lineRule="auto"/>
              <w:jc w:val="right"/>
              <w:rPr>
                <w:rFonts w:eastAsiaTheme="minorEastAsia"/>
                <w:b/>
                <w:bCs/>
              </w:rPr>
            </w:pPr>
            <w:r w:rsidRPr="00120ED2">
              <w:rPr>
                <w:rFonts w:eastAsiaTheme="minorEastAsia"/>
                <w:b/>
                <w:bCs/>
              </w:rPr>
              <w:t>Maksymalna liczba dni</w:t>
            </w:r>
            <w:r w:rsidRPr="00120ED2">
              <w:rPr>
                <w:rFonts w:eastAsiaTheme="minorEastAsia"/>
              </w:rPr>
              <w:t xml:space="preserve"> </w:t>
            </w:r>
            <w:r w:rsidRPr="00120ED2">
              <w:rPr>
                <w:rFonts w:eastAsiaTheme="minorEastAsia"/>
                <w:b/>
                <w:bCs/>
              </w:rPr>
              <w:t>roboczych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85A01AA" w14:textId="77777777" w:rsidR="0050502C" w:rsidRPr="00120ED2" w:rsidRDefault="0050502C" w:rsidP="002306D0">
            <w:pPr>
              <w:spacing w:before="40" w:after="40" w:line="240" w:lineRule="auto"/>
              <w:ind w:right="133"/>
              <w:jc w:val="right"/>
              <w:rPr>
                <w:rFonts w:eastAsiaTheme="minorEastAsia"/>
                <w:b/>
                <w:bCs/>
              </w:rPr>
            </w:pPr>
            <w:r w:rsidRPr="00120ED2">
              <w:rPr>
                <w:rFonts w:eastAsiaTheme="minorEastAsia"/>
                <w:b/>
                <w:bCs/>
              </w:rPr>
              <w:t>Liczba dni roboczych narastająco</w:t>
            </w:r>
          </w:p>
        </w:tc>
      </w:tr>
      <w:tr w:rsidR="0050502C" w:rsidRPr="00120ED2" w14:paraId="71461202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6269" w14:textId="77777777" w:rsidR="0050502C" w:rsidRPr="00120ED2" w:rsidRDefault="0050502C" w:rsidP="0050502C">
            <w:pPr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  <w:rPr>
                <w:rFonts w:eastAsiaTheme="minorEastAsia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3262" w14:textId="77777777" w:rsidR="0050502C" w:rsidRPr="00120ED2" w:rsidRDefault="0050502C" w:rsidP="00E772F1">
            <w:pPr>
              <w:ind w:left="42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Przeprowadzenie analizy desk-research; opracowanie i</w:t>
            </w:r>
            <w:r>
              <w:rPr>
                <w:rFonts w:eastAsiaTheme="minorEastAsia"/>
              </w:rPr>
              <w:t> </w:t>
            </w:r>
            <w:r w:rsidRPr="00120ED2">
              <w:rPr>
                <w:rFonts w:eastAsiaTheme="minorEastAsia"/>
              </w:rPr>
              <w:t>przekazanie Zamawiającemu pierwszej wersji raportu metodologicznego, w tym m.in. narzędzi badawczych.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A415" w14:textId="77777777" w:rsidR="0050502C" w:rsidRPr="00120ED2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13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9823D" w14:textId="77777777" w:rsidR="0050502C" w:rsidRPr="00120ED2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13</w:t>
            </w:r>
          </w:p>
        </w:tc>
      </w:tr>
      <w:tr w:rsidR="0050502C" w:rsidRPr="00120ED2" w14:paraId="7D495B61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CB3E" w14:textId="77777777" w:rsidR="0050502C" w:rsidRPr="00120ED2" w:rsidRDefault="0050502C" w:rsidP="0050502C">
            <w:pPr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  <w:rPr>
                <w:rFonts w:eastAsiaTheme="minorEastAsia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CE61" w14:textId="77777777" w:rsidR="0050502C" w:rsidRPr="00120ED2" w:rsidRDefault="0050502C" w:rsidP="00E772F1">
            <w:pPr>
              <w:ind w:left="42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Wnoszenie przez Zamawiającego uwag do raportu metodologicznego, uwzględnianie ich przez Wykonawcę i przekazanie przez Wykonawcę ostatecznej wersji raportu metodologicznego.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5CAC" w14:textId="77777777" w:rsidR="0050502C" w:rsidRPr="00120ED2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15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EBE8A9" w14:textId="77777777" w:rsidR="0050502C" w:rsidRPr="00120ED2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28</w:t>
            </w:r>
          </w:p>
        </w:tc>
      </w:tr>
      <w:tr w:rsidR="0050502C" w:rsidRPr="00120ED2" w14:paraId="2C2F0B34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9D17" w14:textId="77777777" w:rsidR="0050502C" w:rsidRPr="00120ED2" w:rsidRDefault="0050502C" w:rsidP="0050502C">
            <w:pPr>
              <w:pStyle w:val="Akapitzlist"/>
              <w:numPr>
                <w:ilvl w:val="0"/>
                <w:numId w:val="22"/>
              </w:numPr>
              <w:tabs>
                <w:tab w:val="left" w:pos="164"/>
              </w:tabs>
              <w:suppressAutoHyphens/>
              <w:spacing w:before="40" w:after="40" w:line="240" w:lineRule="auto"/>
              <w:ind w:left="417"/>
              <w:contextualSpacing w:val="0"/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30C7" w14:textId="77777777" w:rsidR="0050502C" w:rsidRPr="00120ED2" w:rsidRDefault="0050502C" w:rsidP="00E772F1">
            <w:pPr>
              <w:ind w:left="42"/>
              <w:rPr>
                <w:rFonts w:eastAsiaTheme="minorEastAsia"/>
                <w:strike/>
              </w:rPr>
            </w:pPr>
            <w:r w:rsidRPr="00120ED2">
              <w:rPr>
                <w:rFonts w:eastAsiaTheme="minorEastAsia"/>
              </w:rPr>
              <w:t>Akceptacja raportu metodologicznego przez Zamawiającego.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2FB1" w14:textId="77777777" w:rsidR="0050502C" w:rsidRPr="00CD40D6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  <w:strike/>
              </w:rPr>
            </w:pPr>
            <w:r w:rsidRPr="00CD40D6">
              <w:rPr>
                <w:rFonts w:eastAsiaTheme="minorEastAsia"/>
              </w:rPr>
              <w:t>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7C6B59" w14:textId="77777777" w:rsidR="0050502C" w:rsidRPr="00CD40D6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  <w:strike/>
              </w:rPr>
            </w:pPr>
            <w:r w:rsidRPr="00CD40D6">
              <w:rPr>
                <w:rFonts w:eastAsiaTheme="minorEastAsia"/>
              </w:rPr>
              <w:t>31</w:t>
            </w:r>
          </w:p>
        </w:tc>
      </w:tr>
      <w:tr w:rsidR="0050502C" w:rsidRPr="00120ED2" w14:paraId="52CD76B2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8383" w14:textId="77777777" w:rsidR="0050502C" w:rsidRPr="00120ED2" w:rsidRDefault="0050502C" w:rsidP="0050502C">
            <w:pPr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  <w:rPr>
                <w:rFonts w:eastAsiaTheme="minorEastAsia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0638" w14:textId="50B02EE5" w:rsidR="0050502C" w:rsidRPr="00120ED2" w:rsidRDefault="0050502C" w:rsidP="00E772F1">
            <w:pPr>
              <w:ind w:left="42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Przeprowadzenie pierwszego panelu eksperckiego, badań terenowych, analiza, opracowanie wyników, przeprowadzenie drugiego panelu eksperckiego i</w:t>
            </w:r>
            <w:r w:rsidR="00E772F1">
              <w:rPr>
                <w:rFonts w:eastAsiaTheme="minorEastAsia"/>
              </w:rPr>
              <w:t> </w:t>
            </w:r>
            <w:r w:rsidRPr="00120ED2">
              <w:rPr>
                <w:rFonts w:eastAsiaTheme="minorEastAsia"/>
              </w:rPr>
              <w:t>przekazanie Zamawiającemu pierwszej wersji raportu końcowego.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4CB6" w14:textId="72010DA8" w:rsidR="0050502C" w:rsidRPr="002F73A4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  <w:b/>
                <w:bCs/>
                <w:color w:val="004E9A"/>
              </w:rPr>
            </w:pPr>
            <w:r w:rsidRPr="002F73A4">
              <w:rPr>
                <w:rFonts w:eastAsiaTheme="minorEastAsia"/>
                <w:b/>
                <w:bCs/>
                <w:color w:val="004E9A"/>
              </w:rPr>
              <w:t>40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0DCF10" w14:textId="2D75E15D" w:rsidR="0050502C" w:rsidRPr="002F73A4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  <w:b/>
                <w:bCs/>
                <w:color w:val="004E9A"/>
              </w:rPr>
            </w:pPr>
            <w:r w:rsidRPr="002F73A4">
              <w:rPr>
                <w:rFonts w:eastAsiaTheme="minorEastAsia"/>
                <w:b/>
                <w:bCs/>
                <w:color w:val="004E9A"/>
              </w:rPr>
              <w:t>71</w:t>
            </w:r>
          </w:p>
        </w:tc>
      </w:tr>
      <w:tr w:rsidR="0050502C" w:rsidRPr="00120ED2" w14:paraId="7FD5DAA1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7B5C" w14:textId="77777777" w:rsidR="0050502C" w:rsidRPr="00120ED2" w:rsidRDefault="0050502C" w:rsidP="0050502C">
            <w:pPr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  <w:rPr>
                <w:rFonts w:eastAsiaTheme="minorEastAsia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3318" w14:textId="77777777" w:rsidR="0050502C" w:rsidRPr="00120ED2" w:rsidRDefault="0050502C" w:rsidP="00E772F1">
            <w:pPr>
              <w:ind w:left="42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Wnoszenie przez Zamawiającego uwag do raportu końcowego, uwzględnianie ich przez Wykonawcę i</w:t>
            </w:r>
            <w:r>
              <w:rPr>
                <w:rFonts w:eastAsiaTheme="minorEastAsia"/>
              </w:rPr>
              <w:t> </w:t>
            </w:r>
            <w:r w:rsidRPr="00120ED2">
              <w:rPr>
                <w:rFonts w:eastAsiaTheme="minorEastAsia"/>
              </w:rPr>
              <w:t>przekazanie przez Wykonawcę ostatecznej wersji raportu końcowego.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DBCF" w14:textId="77777777" w:rsidR="0050502C" w:rsidRPr="00CD40D6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</w:rPr>
            </w:pPr>
            <w:r w:rsidRPr="00CD40D6">
              <w:rPr>
                <w:rFonts w:eastAsiaTheme="minorEastAsia"/>
              </w:rPr>
              <w:t>15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7D87F7" w14:textId="1E538607" w:rsidR="0050502C" w:rsidRPr="002F73A4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  <w:b/>
                <w:bCs/>
                <w:color w:val="004E9A"/>
              </w:rPr>
            </w:pPr>
            <w:r w:rsidRPr="002F73A4">
              <w:rPr>
                <w:rFonts w:eastAsiaTheme="minorEastAsia"/>
                <w:b/>
                <w:bCs/>
                <w:color w:val="004E9A"/>
              </w:rPr>
              <w:t>86</w:t>
            </w:r>
          </w:p>
        </w:tc>
      </w:tr>
      <w:tr w:rsidR="0050502C" w:rsidRPr="00120ED2" w14:paraId="581EDF92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52C4" w14:textId="77777777" w:rsidR="0050502C" w:rsidRPr="00120ED2" w:rsidRDefault="0050502C" w:rsidP="0050502C">
            <w:pPr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  <w:rPr>
                <w:rFonts w:eastAsiaTheme="minorEastAsia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01D7" w14:textId="77777777" w:rsidR="0050502C" w:rsidRPr="00120ED2" w:rsidRDefault="0050502C" w:rsidP="00E772F1">
            <w:pPr>
              <w:ind w:left="42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Akceptacja raportu końcowego przez Zamawiającego.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90BD" w14:textId="77777777" w:rsidR="0050502C" w:rsidRPr="00120ED2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5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ED7142" w14:textId="05497AD6" w:rsidR="0050502C" w:rsidRPr="002F73A4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  <w:b/>
                <w:bCs/>
                <w:color w:val="004E9A"/>
              </w:rPr>
            </w:pPr>
            <w:r w:rsidRPr="002F73A4">
              <w:rPr>
                <w:rFonts w:eastAsiaTheme="minorEastAsia"/>
                <w:b/>
                <w:bCs/>
                <w:color w:val="004E9A"/>
              </w:rPr>
              <w:t>91</w:t>
            </w:r>
          </w:p>
        </w:tc>
      </w:tr>
      <w:tr w:rsidR="0050502C" w:rsidRPr="00120ED2" w14:paraId="50867972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C1C7" w14:textId="77777777" w:rsidR="0050502C" w:rsidRPr="00120ED2" w:rsidRDefault="0050502C" w:rsidP="0050502C">
            <w:pPr>
              <w:pStyle w:val="Akapitzlist"/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</w:pP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ABAF" w14:textId="77777777" w:rsidR="0050502C" w:rsidRPr="00120ED2" w:rsidRDefault="0050502C" w:rsidP="00E772F1">
            <w:pPr>
              <w:ind w:left="42"/>
              <w:rPr>
                <w:rFonts w:eastAsiaTheme="minorEastAsia"/>
                <w:strike/>
              </w:rPr>
            </w:pPr>
            <w:r w:rsidRPr="00120ED2">
              <w:rPr>
                <w:rFonts w:eastAsiaTheme="minorEastAsia"/>
              </w:rPr>
              <w:t>Przekazanie prezentacji końcowej.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41DA" w14:textId="77777777" w:rsidR="0050502C" w:rsidRPr="00120ED2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  <w:strike/>
              </w:rPr>
            </w:pPr>
            <w:r w:rsidRPr="00120ED2">
              <w:rPr>
                <w:rFonts w:eastAsiaTheme="minorEastAsia"/>
              </w:rPr>
              <w:t>3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B039C" w14:textId="6EFA115F" w:rsidR="0050502C" w:rsidRPr="002F73A4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  <w:b/>
                <w:bCs/>
                <w:strike/>
                <w:color w:val="004E9A"/>
              </w:rPr>
            </w:pPr>
            <w:r w:rsidRPr="002F73A4">
              <w:rPr>
                <w:rFonts w:eastAsiaTheme="minorEastAsia"/>
                <w:b/>
                <w:bCs/>
                <w:color w:val="004E9A"/>
              </w:rPr>
              <w:t>94</w:t>
            </w:r>
          </w:p>
        </w:tc>
      </w:tr>
      <w:tr w:rsidR="0050502C" w:rsidRPr="00120ED2" w14:paraId="7484EC69" w14:textId="77777777" w:rsidTr="002306D0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FB55" w14:textId="77777777" w:rsidR="0050502C" w:rsidRPr="00120ED2" w:rsidRDefault="0050502C" w:rsidP="0050502C">
            <w:pPr>
              <w:numPr>
                <w:ilvl w:val="0"/>
                <w:numId w:val="22"/>
              </w:numPr>
              <w:suppressAutoHyphens/>
              <w:spacing w:before="40" w:after="40" w:line="240" w:lineRule="auto"/>
              <w:ind w:left="417"/>
              <w:contextualSpacing w:val="0"/>
              <w:rPr>
                <w:rFonts w:eastAsiaTheme="minorEastAsia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BB74" w14:textId="77777777" w:rsidR="0050502C" w:rsidRPr="00120ED2" w:rsidRDefault="0050502C" w:rsidP="00E772F1">
            <w:pPr>
              <w:ind w:left="417" w:hanging="360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Akceptacja prezentacji końcowej przez Zamawiającego.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273D" w14:textId="77777777" w:rsidR="0050502C" w:rsidRPr="00120ED2" w:rsidRDefault="0050502C" w:rsidP="002306D0">
            <w:pPr>
              <w:spacing w:before="40" w:after="40" w:line="240" w:lineRule="auto"/>
              <w:ind w:left="417" w:hanging="360"/>
              <w:jc w:val="right"/>
              <w:rPr>
                <w:rFonts w:eastAsiaTheme="minorEastAsia"/>
              </w:rPr>
            </w:pPr>
            <w:r w:rsidRPr="00120ED2">
              <w:rPr>
                <w:rFonts w:eastAsiaTheme="minorEastAsia"/>
              </w:rPr>
              <w:t>2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F88F752" w14:textId="0A795B1B" w:rsidR="0050502C" w:rsidRPr="002F73A4" w:rsidRDefault="0050502C" w:rsidP="002306D0">
            <w:pPr>
              <w:spacing w:before="40" w:after="40" w:line="240" w:lineRule="auto"/>
              <w:ind w:left="417" w:right="133" w:hanging="360"/>
              <w:jc w:val="right"/>
              <w:rPr>
                <w:rFonts w:eastAsiaTheme="minorEastAsia"/>
                <w:b/>
                <w:bCs/>
                <w:color w:val="004E9A"/>
              </w:rPr>
            </w:pPr>
            <w:r w:rsidRPr="002F73A4">
              <w:rPr>
                <w:rFonts w:eastAsiaTheme="minorEastAsia"/>
                <w:b/>
                <w:bCs/>
                <w:color w:val="004E9A"/>
              </w:rPr>
              <w:t>96</w:t>
            </w:r>
          </w:p>
        </w:tc>
      </w:tr>
    </w:tbl>
    <w:bookmarkEnd w:id="5"/>
    <w:p w14:paraId="643FA00E" w14:textId="0676C761" w:rsidR="00BB13F6" w:rsidRDefault="00BB13F6" w:rsidP="008A0C42">
      <w:pPr>
        <w:pStyle w:val="Default"/>
        <w:spacing w:before="240" w:after="960" w:line="276" w:lineRule="auto"/>
        <w:rPr>
          <w:rFonts w:asciiTheme="minorHAnsi" w:hAnsiTheme="minorHAnsi" w:cstheme="minorHAnsi"/>
          <w:color w:val="auto"/>
        </w:rPr>
      </w:pPr>
      <w:r w:rsidRPr="001E5C49">
        <w:rPr>
          <w:rFonts w:asciiTheme="minorHAnsi" w:hAnsiTheme="minorHAnsi" w:cstheme="minorHAnsi"/>
          <w:color w:val="auto"/>
        </w:rPr>
        <w:t xml:space="preserve">Pozostała treść </w:t>
      </w:r>
      <w:r w:rsidRPr="00BB13F6">
        <w:rPr>
          <w:rFonts w:asciiTheme="minorHAnsi" w:hAnsiTheme="minorHAnsi" w:cstheme="minorHAnsi"/>
          <w:color w:val="auto"/>
        </w:rPr>
        <w:t>Rozdział</w:t>
      </w:r>
      <w:r>
        <w:rPr>
          <w:rFonts w:asciiTheme="minorHAnsi" w:hAnsiTheme="minorHAnsi" w:cstheme="minorHAnsi"/>
          <w:color w:val="auto"/>
        </w:rPr>
        <w:t>u</w:t>
      </w:r>
      <w:r w:rsidRPr="00BB13F6">
        <w:rPr>
          <w:rFonts w:asciiTheme="minorHAnsi" w:hAnsiTheme="minorHAnsi" w:cstheme="minorHAnsi"/>
          <w:color w:val="auto"/>
        </w:rPr>
        <w:t xml:space="preserve"> X OPZ </w:t>
      </w:r>
      <w:r w:rsidRPr="001E5C49">
        <w:rPr>
          <w:rFonts w:asciiTheme="minorHAnsi" w:hAnsiTheme="minorHAnsi" w:cstheme="minorHAnsi"/>
          <w:color w:val="auto"/>
        </w:rPr>
        <w:t>pozostaje bez zmian</w:t>
      </w:r>
      <w:r>
        <w:rPr>
          <w:rFonts w:asciiTheme="minorHAnsi" w:hAnsiTheme="minorHAnsi" w:cstheme="minorHAnsi"/>
          <w:color w:val="auto"/>
        </w:rPr>
        <w:t>.</w:t>
      </w:r>
    </w:p>
    <w:p w14:paraId="6F873B15" w14:textId="686BA6DE" w:rsidR="0050502C" w:rsidRPr="001E5C49" w:rsidRDefault="0050502C" w:rsidP="00BB13F6">
      <w:pPr>
        <w:pStyle w:val="Nagwek4"/>
        <w:numPr>
          <w:ilvl w:val="0"/>
          <w:numId w:val="29"/>
        </w:numPr>
      </w:pPr>
      <w:r>
        <w:lastRenderedPageBreak/>
        <w:t xml:space="preserve">Paragraf 2 ust. 1 </w:t>
      </w:r>
      <w:r w:rsidR="00CD40D6" w:rsidRPr="001E5C49">
        <w:t>Projektowan</w:t>
      </w:r>
      <w:r w:rsidR="00CD40D6">
        <w:t>ych</w:t>
      </w:r>
      <w:r w:rsidR="00CD40D6" w:rsidRPr="001E5C49">
        <w:t xml:space="preserve"> Postanowie</w:t>
      </w:r>
      <w:r w:rsidR="00CD40D6">
        <w:t>ń</w:t>
      </w:r>
      <w:r w:rsidR="00CD40D6" w:rsidRPr="001E5C49">
        <w:t xml:space="preserve"> Umowy</w:t>
      </w:r>
      <w:r w:rsidR="00CD40D6">
        <w:t xml:space="preserve"> </w:t>
      </w:r>
      <w:r>
        <w:t>(zał</w:t>
      </w:r>
      <w:r w:rsidR="00CD40D6">
        <w:t>ącznika</w:t>
      </w:r>
      <w:r>
        <w:t xml:space="preserve"> nr 3 do SWZ) </w:t>
      </w:r>
      <w:r w:rsidR="00CD40D6">
        <w:t>o</w:t>
      </w:r>
      <w:r>
        <w:t xml:space="preserve">trzymuje </w:t>
      </w:r>
      <w:r w:rsidRPr="001E5C49">
        <w:t>brzmienie:</w:t>
      </w:r>
    </w:p>
    <w:p w14:paraId="753BF910" w14:textId="22B14263" w:rsidR="003E791D" w:rsidRDefault="0050502C" w:rsidP="00E772F1">
      <w:pPr>
        <w:pStyle w:val="Default"/>
        <w:spacing w:after="120" w:line="276" w:lineRule="auto"/>
        <w:rPr>
          <w:rFonts w:asciiTheme="minorHAnsi" w:hAnsiTheme="minorHAnsi" w:cstheme="minorHAnsi"/>
          <w:color w:val="auto"/>
        </w:rPr>
      </w:pPr>
      <w:r w:rsidRPr="001E5C49">
        <w:rPr>
          <w:rFonts w:asciiTheme="minorHAnsi" w:hAnsiTheme="minorHAnsi" w:cstheme="minorHAnsi"/>
          <w:color w:val="auto"/>
        </w:rPr>
        <w:t>Przedmiot Umowy zostanie zrealizowany</w:t>
      </w:r>
      <w:r w:rsidRPr="00FB22D3">
        <w:rPr>
          <w:rFonts w:asciiTheme="minorHAnsi" w:hAnsiTheme="minorHAnsi" w:cstheme="minorHAnsi"/>
          <w:color w:val="auto"/>
        </w:rPr>
        <w:t xml:space="preserve"> w </w:t>
      </w:r>
      <w:r w:rsidRPr="001E5C49">
        <w:rPr>
          <w:rFonts w:asciiTheme="minorHAnsi" w:hAnsiTheme="minorHAnsi" w:cstheme="minorHAnsi"/>
          <w:color w:val="auto"/>
        </w:rPr>
        <w:t xml:space="preserve">terminie do </w:t>
      </w:r>
      <w:r w:rsidRPr="002F73A4">
        <w:rPr>
          <w:rFonts w:asciiTheme="minorHAnsi" w:hAnsiTheme="minorHAnsi" w:cstheme="minorHAnsi"/>
          <w:b/>
          <w:bCs/>
          <w:color w:val="004E9A"/>
        </w:rPr>
        <w:t xml:space="preserve">96 </w:t>
      </w:r>
      <w:r w:rsidRPr="001E5C49">
        <w:rPr>
          <w:rFonts w:asciiTheme="minorHAnsi" w:hAnsiTheme="minorHAnsi" w:cstheme="minorHAnsi"/>
          <w:color w:val="auto"/>
        </w:rPr>
        <w:t>dni</w:t>
      </w:r>
      <w:r w:rsidRPr="00FB22D3">
        <w:rPr>
          <w:rFonts w:asciiTheme="minorHAnsi" w:hAnsiTheme="minorHAnsi" w:cstheme="minorHAnsi"/>
          <w:color w:val="auto"/>
        </w:rPr>
        <w:t xml:space="preserve"> roboczych od dnia podpisania Umowy.</w:t>
      </w:r>
      <w:bookmarkEnd w:id="1"/>
    </w:p>
    <w:p w14:paraId="427FAEDB" w14:textId="5622B544" w:rsidR="001E5C49" w:rsidRPr="001E5C49" w:rsidRDefault="001E5C49" w:rsidP="00BB13F6">
      <w:pPr>
        <w:pStyle w:val="Nagwek4"/>
        <w:numPr>
          <w:ilvl w:val="0"/>
          <w:numId w:val="29"/>
        </w:numPr>
      </w:pPr>
      <w:r>
        <w:t>Ponadto, w SWZ d</w:t>
      </w:r>
      <w:r w:rsidRPr="001E5C49">
        <w:t xml:space="preserve">okonuje się przesunięcia terminu składania i otwarcia ofert na dzień: </w:t>
      </w:r>
      <w:r>
        <w:t>22</w:t>
      </w:r>
      <w:r w:rsidRPr="001E5C49">
        <w:t>.0</w:t>
      </w:r>
      <w:r>
        <w:t>5</w:t>
      </w:r>
      <w:r w:rsidRPr="001E5C49">
        <w:t xml:space="preserve">.2025 r. </w:t>
      </w:r>
      <w:r w:rsidRPr="00CD40D6">
        <w:rPr>
          <w:b w:val="0"/>
          <w:bCs w:val="0"/>
        </w:rPr>
        <w:t>godziny pozostają bez zmian.</w:t>
      </w:r>
      <w:r w:rsidRPr="001E5C49">
        <w:t xml:space="preserve"> </w:t>
      </w:r>
      <w:r w:rsidRPr="00CD40D6">
        <w:rPr>
          <w:b w:val="0"/>
          <w:bCs w:val="0"/>
        </w:rPr>
        <w:t>W konsekwencji dokonuje się</w:t>
      </w:r>
      <w:r w:rsidRPr="001E5C49">
        <w:t xml:space="preserve"> zmiany terminu związania ofertą.</w:t>
      </w:r>
    </w:p>
    <w:p w14:paraId="3763DAA8" w14:textId="0C90D42A" w:rsidR="001E5C49" w:rsidRPr="001E5C49" w:rsidRDefault="001E5C49" w:rsidP="00E772F1">
      <w:pPr>
        <w:pStyle w:val="Default"/>
        <w:spacing w:after="120" w:line="276" w:lineRule="auto"/>
      </w:pPr>
      <w:r w:rsidRPr="001E5C49">
        <w:t>W związku z powyższym Zamawiający dokonuje następujących zmian w treści SWZ:</w:t>
      </w:r>
    </w:p>
    <w:p w14:paraId="0CC8235F" w14:textId="01C2D4C1" w:rsidR="001E5C49" w:rsidRPr="001E5C49" w:rsidRDefault="001E5C49" w:rsidP="00E772F1">
      <w:pPr>
        <w:pStyle w:val="Default"/>
        <w:numPr>
          <w:ilvl w:val="0"/>
          <w:numId w:val="27"/>
        </w:numPr>
        <w:spacing w:after="120" w:line="276" w:lineRule="auto"/>
      </w:pPr>
      <w:r w:rsidRPr="001E5C49">
        <w:t xml:space="preserve">pkt 10.1 SWZ, otrzymuje brzmienie: „Termin, w którym Wykonawca będzie związany ofertą wynosi: </w:t>
      </w:r>
      <w:r w:rsidRPr="001E5C49">
        <w:rPr>
          <w:b/>
          <w:bCs/>
        </w:rPr>
        <w:t>30 dni</w:t>
      </w:r>
      <w:r w:rsidRPr="001E5C49">
        <w:t xml:space="preserve"> tj. do dnia </w:t>
      </w:r>
      <w:r w:rsidR="00CD40D6" w:rsidRPr="002F73A4">
        <w:rPr>
          <w:b/>
          <w:bCs/>
          <w:color w:val="004E9A"/>
          <w:highlight w:val="lightGray"/>
        </w:rPr>
        <w:t>20</w:t>
      </w:r>
      <w:r w:rsidR="00CD40D6" w:rsidRPr="00964D2E">
        <w:rPr>
          <w:b/>
          <w:bCs/>
          <w:color w:val="004E9A"/>
          <w:highlight w:val="lightGray"/>
        </w:rPr>
        <w:t>.</w:t>
      </w:r>
      <w:r w:rsidR="00CD40D6" w:rsidRPr="00BB13F6">
        <w:rPr>
          <w:b/>
          <w:bCs/>
          <w:color w:val="auto"/>
          <w:highlight w:val="lightGray"/>
        </w:rPr>
        <w:t>06.</w:t>
      </w:r>
      <w:r w:rsidRPr="00BB13F6">
        <w:rPr>
          <w:b/>
          <w:bCs/>
          <w:highlight w:val="lightGray"/>
        </w:rPr>
        <w:t>2025 r.</w:t>
      </w:r>
    </w:p>
    <w:p w14:paraId="750199CC" w14:textId="249FE860" w:rsidR="001E5C49" w:rsidRPr="001E5C49" w:rsidRDefault="001E5C49" w:rsidP="00E772F1">
      <w:pPr>
        <w:pStyle w:val="Default"/>
        <w:numPr>
          <w:ilvl w:val="0"/>
          <w:numId w:val="27"/>
        </w:numPr>
        <w:spacing w:after="120" w:line="276" w:lineRule="auto"/>
      </w:pPr>
      <w:r w:rsidRPr="001E5C49">
        <w:t>w pkt 20.1 SWZ zmianie ulega treść dotycząca terminu składania ofert na następującą: „</w:t>
      </w:r>
      <w:r w:rsidR="00CD40D6" w:rsidRPr="00BB13F6">
        <w:rPr>
          <w:b/>
          <w:bCs/>
          <w:highlight w:val="lightGray"/>
        </w:rPr>
        <w:t xml:space="preserve">Termin składania ofert: </w:t>
      </w:r>
      <w:r w:rsidR="00CD40D6" w:rsidRPr="002F73A4">
        <w:rPr>
          <w:b/>
          <w:bCs/>
          <w:color w:val="004E9A"/>
          <w:highlight w:val="lightGray"/>
        </w:rPr>
        <w:t>22</w:t>
      </w:r>
      <w:r w:rsidR="00CD40D6" w:rsidRPr="00964D2E">
        <w:rPr>
          <w:b/>
          <w:bCs/>
          <w:color w:val="004E9A"/>
          <w:highlight w:val="lightGray"/>
        </w:rPr>
        <w:t>.</w:t>
      </w:r>
      <w:r w:rsidR="00CD40D6" w:rsidRPr="00BB13F6">
        <w:rPr>
          <w:b/>
          <w:bCs/>
          <w:highlight w:val="lightGray"/>
        </w:rPr>
        <w:t>05.2025 r. godz. 12:00</w:t>
      </w:r>
      <w:r w:rsidRPr="001E5C49">
        <w:rPr>
          <w:b/>
          <w:bCs/>
        </w:rPr>
        <w:t>”</w:t>
      </w:r>
      <w:r w:rsidR="00CD40D6">
        <w:t>.</w:t>
      </w:r>
    </w:p>
    <w:p w14:paraId="632D59CA" w14:textId="255DE218" w:rsidR="001E5C49" w:rsidRDefault="001E5C49" w:rsidP="00E772F1">
      <w:pPr>
        <w:pStyle w:val="Default"/>
        <w:spacing w:after="120" w:line="276" w:lineRule="auto"/>
        <w:ind w:left="709"/>
        <w:rPr>
          <w:rFonts w:asciiTheme="minorHAnsi" w:hAnsiTheme="minorHAnsi" w:cstheme="minorHAnsi"/>
          <w:color w:val="auto"/>
        </w:rPr>
      </w:pPr>
      <w:r w:rsidRPr="001E5C49">
        <w:rPr>
          <w:rFonts w:asciiTheme="minorHAnsi" w:hAnsiTheme="minorHAnsi" w:cstheme="minorHAnsi"/>
          <w:color w:val="auto"/>
        </w:rPr>
        <w:t>Pozostała treść pkt 20. 1 SWZ pozostaje bez zmian</w:t>
      </w:r>
    </w:p>
    <w:p w14:paraId="3D3BBA78" w14:textId="7856AB0D" w:rsidR="00CD40D6" w:rsidRPr="00CD40D6" w:rsidRDefault="001E5C49" w:rsidP="00E772F1">
      <w:pPr>
        <w:pStyle w:val="Default"/>
        <w:numPr>
          <w:ilvl w:val="0"/>
          <w:numId w:val="27"/>
        </w:numPr>
        <w:spacing w:after="120" w:line="276" w:lineRule="auto"/>
        <w:ind w:left="714" w:hanging="357"/>
      </w:pPr>
      <w:r w:rsidRPr="00CD40D6">
        <w:rPr>
          <w:rFonts w:asciiTheme="minorHAnsi" w:hAnsiTheme="minorHAnsi" w:cstheme="minorHAnsi"/>
          <w:color w:val="auto"/>
        </w:rPr>
        <w:t>pkt 20.2 SWZ przyjmuje brzmienie: „</w:t>
      </w:r>
      <w:r w:rsidR="00CD40D6" w:rsidRPr="00CD40D6">
        <w:rPr>
          <w:rFonts w:asciiTheme="minorHAnsi" w:hAnsiTheme="minorHAnsi" w:cstheme="minorHAnsi"/>
          <w:color w:val="auto"/>
        </w:rPr>
        <w:t>Oferty należy składać na Platformie Zakupowej w</w:t>
      </w:r>
      <w:r w:rsidR="00CD40D6">
        <w:rPr>
          <w:rFonts w:asciiTheme="minorHAnsi" w:hAnsiTheme="minorHAnsi" w:cstheme="minorHAnsi"/>
          <w:color w:val="auto"/>
        </w:rPr>
        <w:t> </w:t>
      </w:r>
      <w:r w:rsidR="00CD40D6" w:rsidRPr="00CD40D6">
        <w:rPr>
          <w:rFonts w:asciiTheme="minorHAnsi" w:hAnsiTheme="minorHAnsi" w:cstheme="minorHAnsi"/>
          <w:color w:val="auto"/>
        </w:rPr>
        <w:t xml:space="preserve">zakładce danego postępowania. Otwarcie złożonych ofert nastąpi przez Platformę Zakupową, w dniu </w:t>
      </w:r>
      <w:r w:rsidR="00CD40D6" w:rsidRPr="002F73A4">
        <w:rPr>
          <w:rFonts w:asciiTheme="minorHAnsi" w:hAnsiTheme="minorHAnsi" w:cstheme="minorHAnsi"/>
          <w:b/>
          <w:bCs/>
          <w:color w:val="004E9A"/>
          <w:highlight w:val="lightGray"/>
        </w:rPr>
        <w:t>22</w:t>
      </w:r>
      <w:r w:rsidR="00CD40D6" w:rsidRPr="00BB13F6">
        <w:rPr>
          <w:rFonts w:asciiTheme="minorHAnsi" w:hAnsiTheme="minorHAnsi" w:cstheme="minorHAnsi"/>
          <w:b/>
          <w:bCs/>
          <w:color w:val="auto"/>
          <w:highlight w:val="lightGray"/>
        </w:rPr>
        <w:t>.05.2025 r. o godz. 12:30</w:t>
      </w:r>
      <w:r w:rsidR="00CD40D6">
        <w:rPr>
          <w:rFonts w:asciiTheme="minorHAnsi" w:hAnsiTheme="minorHAnsi" w:cstheme="minorHAnsi"/>
          <w:color w:val="auto"/>
        </w:rPr>
        <w:t>”</w:t>
      </w:r>
      <w:r w:rsidR="00CD40D6" w:rsidRPr="00CD40D6">
        <w:rPr>
          <w:rFonts w:asciiTheme="minorHAnsi" w:hAnsiTheme="minorHAnsi" w:cstheme="minorHAnsi"/>
          <w:color w:val="auto"/>
        </w:rPr>
        <w:t>.</w:t>
      </w:r>
    </w:p>
    <w:p w14:paraId="1E0CE558" w14:textId="71008D5A" w:rsidR="00CA4060" w:rsidRDefault="00CA4060" w:rsidP="00E772F1">
      <w:pPr>
        <w:pStyle w:val="Default"/>
        <w:spacing w:after="1080" w:line="276" w:lineRule="auto"/>
        <w:rPr>
          <w:b/>
          <w:bCs/>
        </w:rPr>
      </w:pPr>
      <w:r w:rsidRPr="00CD40D6">
        <w:rPr>
          <w:b/>
          <w:bCs/>
        </w:rPr>
        <w:t>Powyższe pytania i odpowiedzi oraz modyfikacja SWZ stanowią integralną część dokumentów zamówienia.</w:t>
      </w:r>
    </w:p>
    <w:p w14:paraId="5CEE7B93" w14:textId="1AF4BB32" w:rsidR="00674DF8" w:rsidRPr="00674DF8" w:rsidRDefault="005A6359" w:rsidP="00674DF8">
      <w:pPr>
        <w:pStyle w:val="Default"/>
        <w:spacing w:after="120" w:line="276" w:lineRule="auto"/>
        <w:ind w:left="3402"/>
        <w:contextualSpacing/>
        <w:jc w:val="center"/>
      </w:pPr>
      <w:bookmarkStart w:id="6" w:name="_Hlk195792429"/>
      <w:r>
        <w:t>Z</w:t>
      </w:r>
      <w:r w:rsidR="00674DF8" w:rsidRPr="00674DF8">
        <w:t xml:space="preserve"> upoważnienia Prezesa Zarządu PFRON</w:t>
      </w:r>
    </w:p>
    <w:p w14:paraId="44079E8E" w14:textId="77777777" w:rsidR="00674DF8" w:rsidRPr="00674DF8" w:rsidRDefault="00674DF8" w:rsidP="00674DF8">
      <w:pPr>
        <w:pStyle w:val="Default"/>
        <w:spacing w:after="120" w:line="276" w:lineRule="auto"/>
        <w:ind w:left="3402"/>
        <w:contextualSpacing/>
        <w:jc w:val="center"/>
      </w:pPr>
      <w:r w:rsidRPr="00674DF8">
        <w:t>pełniący obowiązki Z-cy Dyrektora Biura</w:t>
      </w:r>
    </w:p>
    <w:p w14:paraId="735A737E" w14:textId="1D7F6CE1" w:rsidR="00674DF8" w:rsidRPr="00674DF8" w:rsidRDefault="00674DF8" w:rsidP="00674DF8">
      <w:pPr>
        <w:pStyle w:val="Default"/>
        <w:spacing w:after="120" w:line="276" w:lineRule="auto"/>
        <w:ind w:left="3402"/>
        <w:contextualSpacing/>
        <w:jc w:val="center"/>
      </w:pPr>
      <w:r w:rsidRPr="00674DF8">
        <w:t>Naczelnik Wydziału</w:t>
      </w:r>
    </w:p>
    <w:p w14:paraId="51D3D8C3" w14:textId="4E11E330" w:rsidR="005A6359" w:rsidRDefault="00674DF8" w:rsidP="006C4BE8">
      <w:pPr>
        <w:pStyle w:val="Default"/>
        <w:spacing w:after="120" w:line="276" w:lineRule="auto"/>
        <w:ind w:left="3402"/>
        <w:contextualSpacing/>
        <w:jc w:val="center"/>
      </w:pPr>
      <w:r w:rsidRPr="00674DF8">
        <w:t>Biuro Organizacyjne</w:t>
      </w:r>
      <w:bookmarkEnd w:id="6"/>
    </w:p>
    <w:p w14:paraId="16E47D34" w14:textId="4914162A" w:rsidR="00857AB9" w:rsidRPr="00674DF8" w:rsidRDefault="00857AB9" w:rsidP="006C4BE8">
      <w:pPr>
        <w:pStyle w:val="Default"/>
        <w:spacing w:after="120" w:line="276" w:lineRule="auto"/>
        <w:ind w:left="3402"/>
        <w:contextualSpacing/>
        <w:jc w:val="center"/>
      </w:pPr>
      <w:r>
        <w:t>Małgorzata Głocka</w:t>
      </w:r>
    </w:p>
    <w:sectPr w:rsidR="00857AB9" w:rsidRPr="00674DF8" w:rsidSect="00E503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E226" w14:textId="77777777" w:rsidR="00C83615" w:rsidRDefault="00C83615" w:rsidP="002F5941">
      <w:pPr>
        <w:spacing w:after="0" w:line="240" w:lineRule="auto"/>
      </w:pPr>
      <w:r>
        <w:separator/>
      </w:r>
    </w:p>
  </w:endnote>
  <w:endnote w:type="continuationSeparator" w:id="0">
    <w:p w14:paraId="585E3625" w14:textId="77777777" w:rsidR="00C83615" w:rsidRDefault="00C83615" w:rsidP="002F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3460" w14:textId="7166578C" w:rsidR="002F5941" w:rsidRDefault="00376B29" w:rsidP="00E50320">
    <w:pPr>
      <w:pStyle w:val="Stopka"/>
      <w:jc w:val="right"/>
    </w:pPr>
    <w:sdt>
      <w:sdtPr>
        <w:id w:val="166059606"/>
        <w:docPartObj>
          <w:docPartGallery w:val="Page Numbers (Bottom of Page)"/>
          <w:docPartUnique/>
        </w:docPartObj>
      </w:sdtPr>
      <w:sdtEndPr/>
      <w:sdtContent>
        <w:r w:rsidR="00E50320">
          <w:fldChar w:fldCharType="begin"/>
        </w:r>
        <w:r w:rsidR="00E50320">
          <w:instrText>PAGE   \* MERGEFORMAT</w:instrText>
        </w:r>
        <w:r w:rsidR="00E50320">
          <w:fldChar w:fldCharType="separate"/>
        </w:r>
        <w:r w:rsidR="00E50320">
          <w:t>2</w:t>
        </w:r>
        <w:r w:rsidR="00E503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6ED2" w14:textId="3A74FDD3" w:rsidR="00E50320" w:rsidRDefault="00E50320" w:rsidP="00E50320">
    <w:pPr>
      <w:pStyle w:val="Stopka"/>
      <w:tabs>
        <w:tab w:val="clear" w:pos="4536"/>
        <w:tab w:val="clear" w:pos="9072"/>
        <w:tab w:val="left" w:pos="3119"/>
      </w:tabs>
      <w:spacing w:before="120"/>
      <w:ind w:left="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B4ADA9" wp14:editId="5676F7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2200" cy="0"/>
              <wp:effectExtent l="0" t="0" r="0" b="0"/>
              <wp:wrapNone/>
              <wp:docPr id="1818899560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9802EB" id="Łącznik prosty 1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" strokecolor="black [3200]" strokeweight=".5pt">
              <v:stroke joinstyle="miter"/>
            </v:line>
          </w:pict>
        </mc:Fallback>
      </mc:AlternateContent>
    </w:r>
    <w:r>
      <w:t>Lider</w:t>
    </w:r>
    <w:r>
      <w:tab/>
      <w:t>Partnerzy</w:t>
    </w:r>
  </w:p>
  <w:p w14:paraId="21A6F8FC" w14:textId="0BBB5F1E" w:rsidR="00E50320" w:rsidRDefault="00E50320" w:rsidP="00E50320">
    <w:pPr>
      <w:pStyle w:val="Stopka"/>
      <w:tabs>
        <w:tab w:val="clear" w:pos="4536"/>
        <w:tab w:val="clear" w:pos="9072"/>
        <w:tab w:val="left" w:pos="3119"/>
      </w:tabs>
      <w:spacing w:before="120"/>
      <w:ind w:left="284"/>
    </w:pPr>
    <w:r w:rsidRPr="00971028">
      <w:rPr>
        <w:rFonts w:ascii="Times New Roman" w:hAnsi="Times New Roman"/>
        <w:b/>
        <w:bCs/>
        <w:noProof/>
        <w:lang w:eastAsia="pl-PL"/>
      </w:rPr>
      <w:drawing>
        <wp:inline distT="0" distB="0" distL="0" distR="0" wp14:anchorId="01D5083F" wp14:editId="209EEB73">
          <wp:extent cx="5760720" cy="718005"/>
          <wp:effectExtent l="0" t="0" r="0" b="6350"/>
          <wp:docPr id="1890760361" name="Obraz 1" descr="Zestaw logotypów: Lider Państwowy Fundusz Rehabilitacji Osób Niepełnosprawnych oraz partnerzy: Avalon – bezpośrednia pomoc niepełnosprawnym i Polskie Towarzystwo Stomatologicz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90391" name="Obraz 1" descr="Zestaw logotypów: Lider Państwowy Fundusz Rehabilitacji Osób Niepełnosprawnych oraz partnerzy: Avalon – bezpośrednia pomoc niepełnosprawnym i Polskie Towarzystwo Stomatologiczn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4156" w14:textId="77777777" w:rsidR="00C83615" w:rsidRDefault="00C83615" w:rsidP="002F5941">
      <w:pPr>
        <w:spacing w:after="0" w:line="240" w:lineRule="auto"/>
      </w:pPr>
      <w:bookmarkStart w:id="0" w:name="_Hlk197932646"/>
      <w:bookmarkEnd w:id="0"/>
      <w:r>
        <w:separator/>
      </w:r>
    </w:p>
  </w:footnote>
  <w:footnote w:type="continuationSeparator" w:id="0">
    <w:p w14:paraId="30A82F2E" w14:textId="77777777" w:rsidR="00C83615" w:rsidRDefault="00C83615" w:rsidP="002F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39B3" w14:textId="691448A0" w:rsidR="00E50320" w:rsidRDefault="00E50320" w:rsidP="00E50320">
    <w:pPr>
      <w:pStyle w:val="Podstawowyakapitowy"/>
    </w:pPr>
    <w:r>
      <w:rPr>
        <w:noProof/>
        <w:lang w:eastAsia="pl-PL"/>
      </w:rPr>
      <w:drawing>
        <wp:inline distT="0" distB="0" distL="0" distR="0" wp14:anchorId="4A3314C4" wp14:editId="0FEEE296">
          <wp:extent cx="5760720" cy="797186"/>
          <wp:effectExtent l="0" t="0" r="0" b="3175"/>
          <wp:docPr id="850291343" name="Obraz 2" descr="Zestaw logotypów: symbol graficzny Funduszy Europejskich z napisem Fundusze Europejskie dla Rozwoju Społecznego; flaga Polski z napisem Rzeczpospolita Polska; flaga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421276" name="Obraz 2" descr="Zestaw logotypów: symbol graficzny Funduszy Europejskich z napisem Fundusze Europejskie dla Rozwoju Społecznego; flaga Polski z napisem Rzeczpospolita Polska; flaga Unii Europejskiej z napisem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41FB97" w14:textId="1DAA9818" w:rsidR="00E50320" w:rsidRPr="00E50320" w:rsidRDefault="00E50320" w:rsidP="00E50320">
    <w:pPr>
      <w:pStyle w:val="Podstawowyakapitowy"/>
      <w:ind w:left="-284"/>
      <w:jc w:val="center"/>
      <w:rPr>
        <w:rFonts w:asciiTheme="minorHAnsi" w:hAnsiTheme="minorHAnsi" w:cstheme="minorHAnsi"/>
        <w:noProof/>
        <w:lang w:eastAsia="pl-PL"/>
      </w:rPr>
    </w:pPr>
    <w:r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D53D92" wp14:editId="6BA7BE1D">
              <wp:simplePos x="0" y="0"/>
              <wp:positionH relativeFrom="column">
                <wp:posOffset>-205105</wp:posOffset>
              </wp:positionH>
              <wp:positionV relativeFrom="paragraph">
                <wp:posOffset>240030</wp:posOffset>
              </wp:positionV>
              <wp:extent cx="6172200" cy="0"/>
              <wp:effectExtent l="0" t="0" r="0" b="0"/>
              <wp:wrapNone/>
              <wp:docPr id="202238720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5B0447" id="Łącznik prosty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8.9pt" to="469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Epo8xj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71725D">
      <w:rPr>
        <w:rFonts w:asciiTheme="minorHAnsi" w:hAnsiTheme="minorHAnsi" w:cstheme="minorHAnsi"/>
        <w:noProof/>
        <w:lang w:eastAsia="pl-PL"/>
      </w:rPr>
      <w:t>Dostępna stomatologia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862"/>
    <w:multiLevelType w:val="hybridMultilevel"/>
    <w:tmpl w:val="799C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D8D"/>
    <w:multiLevelType w:val="hybridMultilevel"/>
    <w:tmpl w:val="25B4BF0A"/>
    <w:lvl w:ilvl="0" w:tplc="55AAAE0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E2514"/>
    <w:multiLevelType w:val="hybridMultilevel"/>
    <w:tmpl w:val="60E80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6435"/>
    <w:multiLevelType w:val="multilevel"/>
    <w:tmpl w:val="2EDCFF7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4078CB"/>
    <w:multiLevelType w:val="hybridMultilevel"/>
    <w:tmpl w:val="7256F2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E732C"/>
    <w:multiLevelType w:val="hybridMultilevel"/>
    <w:tmpl w:val="709A5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916F9"/>
    <w:multiLevelType w:val="hybridMultilevel"/>
    <w:tmpl w:val="EEEA28E6"/>
    <w:lvl w:ilvl="0" w:tplc="770447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D71D7C"/>
    <w:multiLevelType w:val="hybridMultilevel"/>
    <w:tmpl w:val="A0822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1440"/>
    <w:multiLevelType w:val="multilevel"/>
    <w:tmpl w:val="186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831A0C"/>
    <w:multiLevelType w:val="hybridMultilevel"/>
    <w:tmpl w:val="03F632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B3B2E"/>
    <w:multiLevelType w:val="hybridMultilevel"/>
    <w:tmpl w:val="0D3E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2D3D"/>
    <w:multiLevelType w:val="hybridMultilevel"/>
    <w:tmpl w:val="FAF2D062"/>
    <w:lvl w:ilvl="0" w:tplc="FDB6EC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A15F1F"/>
    <w:multiLevelType w:val="hybridMultilevel"/>
    <w:tmpl w:val="FFE487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67150"/>
    <w:multiLevelType w:val="hybridMultilevel"/>
    <w:tmpl w:val="9CA60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AB755D"/>
    <w:multiLevelType w:val="hybridMultilevel"/>
    <w:tmpl w:val="988842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B091C"/>
    <w:multiLevelType w:val="hybridMultilevel"/>
    <w:tmpl w:val="50BE1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9528A6"/>
    <w:multiLevelType w:val="hybridMultilevel"/>
    <w:tmpl w:val="D59A0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A03EE"/>
    <w:multiLevelType w:val="hybridMultilevel"/>
    <w:tmpl w:val="EF32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B1E62"/>
    <w:multiLevelType w:val="hybridMultilevel"/>
    <w:tmpl w:val="93386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75413"/>
    <w:multiLevelType w:val="hybridMultilevel"/>
    <w:tmpl w:val="2814D98E"/>
    <w:lvl w:ilvl="0" w:tplc="9DCAD3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A0E30"/>
    <w:multiLevelType w:val="hybridMultilevel"/>
    <w:tmpl w:val="184431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20993"/>
    <w:multiLevelType w:val="hybridMultilevel"/>
    <w:tmpl w:val="1AA6C1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91131F"/>
    <w:multiLevelType w:val="hybridMultilevel"/>
    <w:tmpl w:val="A34A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84DD5"/>
    <w:multiLevelType w:val="multilevel"/>
    <w:tmpl w:val="4F28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80447C"/>
    <w:multiLevelType w:val="hybridMultilevel"/>
    <w:tmpl w:val="CD9E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1716">
    <w:abstractNumId w:val="12"/>
  </w:num>
  <w:num w:numId="2" w16cid:durableId="611978835">
    <w:abstractNumId w:val="2"/>
  </w:num>
  <w:num w:numId="3" w16cid:durableId="1790317043">
    <w:abstractNumId w:val="9"/>
  </w:num>
  <w:num w:numId="4" w16cid:durableId="1039470909">
    <w:abstractNumId w:val="9"/>
  </w:num>
  <w:num w:numId="5" w16cid:durableId="428432949">
    <w:abstractNumId w:val="2"/>
  </w:num>
  <w:num w:numId="6" w16cid:durableId="1139764484">
    <w:abstractNumId w:val="2"/>
  </w:num>
  <w:num w:numId="7" w16cid:durableId="593712312">
    <w:abstractNumId w:val="7"/>
  </w:num>
  <w:num w:numId="8" w16cid:durableId="1886791774">
    <w:abstractNumId w:val="7"/>
  </w:num>
  <w:num w:numId="9" w16cid:durableId="143473222">
    <w:abstractNumId w:val="4"/>
  </w:num>
  <w:num w:numId="10" w16cid:durableId="1018314556">
    <w:abstractNumId w:val="11"/>
  </w:num>
  <w:num w:numId="11" w16cid:durableId="1368917008">
    <w:abstractNumId w:val="0"/>
  </w:num>
  <w:num w:numId="12" w16cid:durableId="1431855544">
    <w:abstractNumId w:val="21"/>
  </w:num>
  <w:num w:numId="13" w16cid:durableId="335772160">
    <w:abstractNumId w:val="16"/>
  </w:num>
  <w:num w:numId="14" w16cid:durableId="1009679107">
    <w:abstractNumId w:val="10"/>
  </w:num>
  <w:num w:numId="15" w16cid:durableId="148636511">
    <w:abstractNumId w:val="19"/>
  </w:num>
  <w:num w:numId="16" w16cid:durableId="1570847062">
    <w:abstractNumId w:val="14"/>
  </w:num>
  <w:num w:numId="17" w16cid:durableId="2003775775">
    <w:abstractNumId w:val="15"/>
  </w:num>
  <w:num w:numId="18" w16cid:durableId="1212035466">
    <w:abstractNumId w:val="6"/>
  </w:num>
  <w:num w:numId="19" w16cid:durableId="182107754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5622079">
    <w:abstractNumId w:val="22"/>
  </w:num>
  <w:num w:numId="21" w16cid:durableId="2058241120">
    <w:abstractNumId w:val="13"/>
  </w:num>
  <w:num w:numId="22" w16cid:durableId="1692342915">
    <w:abstractNumId w:val="5"/>
  </w:num>
  <w:num w:numId="23" w16cid:durableId="1910194351">
    <w:abstractNumId w:val="20"/>
  </w:num>
  <w:num w:numId="24" w16cid:durableId="187137745">
    <w:abstractNumId w:val="25"/>
  </w:num>
  <w:num w:numId="25" w16cid:durableId="289555536">
    <w:abstractNumId w:val="23"/>
  </w:num>
  <w:num w:numId="26" w16cid:durableId="1300574714">
    <w:abstractNumId w:val="3"/>
  </w:num>
  <w:num w:numId="27" w16cid:durableId="1417510150">
    <w:abstractNumId w:val="8"/>
  </w:num>
  <w:num w:numId="28" w16cid:durableId="895167750">
    <w:abstractNumId w:val="17"/>
  </w:num>
  <w:num w:numId="29" w16cid:durableId="1423407435">
    <w:abstractNumId w:val="1"/>
  </w:num>
  <w:num w:numId="30" w16cid:durableId="12917446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0"/>
    <w:rsid w:val="00013641"/>
    <w:rsid w:val="00022BAA"/>
    <w:rsid w:val="000D4CB4"/>
    <w:rsid w:val="00130077"/>
    <w:rsid w:val="001339BC"/>
    <w:rsid w:val="0014751C"/>
    <w:rsid w:val="00154D84"/>
    <w:rsid w:val="00164304"/>
    <w:rsid w:val="00172F3F"/>
    <w:rsid w:val="00184EC2"/>
    <w:rsid w:val="00194A6D"/>
    <w:rsid w:val="001E5C49"/>
    <w:rsid w:val="00206FB4"/>
    <w:rsid w:val="00225AF8"/>
    <w:rsid w:val="00230EA8"/>
    <w:rsid w:val="0025154D"/>
    <w:rsid w:val="0026231D"/>
    <w:rsid w:val="002A6F00"/>
    <w:rsid w:val="002D379C"/>
    <w:rsid w:val="002D3CE3"/>
    <w:rsid w:val="002F5941"/>
    <w:rsid w:val="002F73A4"/>
    <w:rsid w:val="0030143F"/>
    <w:rsid w:val="00311E95"/>
    <w:rsid w:val="003535E9"/>
    <w:rsid w:val="003551C7"/>
    <w:rsid w:val="00373AA5"/>
    <w:rsid w:val="00376B29"/>
    <w:rsid w:val="00394869"/>
    <w:rsid w:val="003A7D92"/>
    <w:rsid w:val="003E13DD"/>
    <w:rsid w:val="003E791D"/>
    <w:rsid w:val="0040447A"/>
    <w:rsid w:val="0043222A"/>
    <w:rsid w:val="004725C2"/>
    <w:rsid w:val="00491B0E"/>
    <w:rsid w:val="004A08F5"/>
    <w:rsid w:val="004A1C1E"/>
    <w:rsid w:val="004D7479"/>
    <w:rsid w:val="004E32C0"/>
    <w:rsid w:val="004F7541"/>
    <w:rsid w:val="0050502C"/>
    <w:rsid w:val="00510B01"/>
    <w:rsid w:val="00530605"/>
    <w:rsid w:val="00554145"/>
    <w:rsid w:val="00556FAB"/>
    <w:rsid w:val="005602DC"/>
    <w:rsid w:val="00591F46"/>
    <w:rsid w:val="005A6359"/>
    <w:rsid w:val="005C01AF"/>
    <w:rsid w:val="005E49B2"/>
    <w:rsid w:val="005E7B7B"/>
    <w:rsid w:val="005F5973"/>
    <w:rsid w:val="00627863"/>
    <w:rsid w:val="00636BE7"/>
    <w:rsid w:val="00637116"/>
    <w:rsid w:val="00644FE3"/>
    <w:rsid w:val="006707F4"/>
    <w:rsid w:val="00674DF8"/>
    <w:rsid w:val="00675EC4"/>
    <w:rsid w:val="00676615"/>
    <w:rsid w:val="00686BE3"/>
    <w:rsid w:val="006939CB"/>
    <w:rsid w:val="006C087B"/>
    <w:rsid w:val="006C4BE8"/>
    <w:rsid w:val="006D3EE3"/>
    <w:rsid w:val="007051A8"/>
    <w:rsid w:val="007070B1"/>
    <w:rsid w:val="00760CC1"/>
    <w:rsid w:val="00771981"/>
    <w:rsid w:val="00773E24"/>
    <w:rsid w:val="007B2ADF"/>
    <w:rsid w:val="007E36B1"/>
    <w:rsid w:val="007F0F49"/>
    <w:rsid w:val="007F4FCF"/>
    <w:rsid w:val="007F5DB7"/>
    <w:rsid w:val="008439D9"/>
    <w:rsid w:val="00850984"/>
    <w:rsid w:val="00857AB9"/>
    <w:rsid w:val="00866974"/>
    <w:rsid w:val="008671F3"/>
    <w:rsid w:val="008711AC"/>
    <w:rsid w:val="008724B3"/>
    <w:rsid w:val="00887A4E"/>
    <w:rsid w:val="00895573"/>
    <w:rsid w:val="008A0C42"/>
    <w:rsid w:val="008B519D"/>
    <w:rsid w:val="008C1A41"/>
    <w:rsid w:val="008D5BBD"/>
    <w:rsid w:val="008D71D2"/>
    <w:rsid w:val="00927A56"/>
    <w:rsid w:val="00951B91"/>
    <w:rsid w:val="009604DB"/>
    <w:rsid w:val="00964D2E"/>
    <w:rsid w:val="00965ED4"/>
    <w:rsid w:val="0098200E"/>
    <w:rsid w:val="00987949"/>
    <w:rsid w:val="0099442F"/>
    <w:rsid w:val="009C42D2"/>
    <w:rsid w:val="009E5F40"/>
    <w:rsid w:val="00A26956"/>
    <w:rsid w:val="00A61B8D"/>
    <w:rsid w:val="00A910FA"/>
    <w:rsid w:val="00AB239D"/>
    <w:rsid w:val="00AB6EB9"/>
    <w:rsid w:val="00AD2EF5"/>
    <w:rsid w:val="00AF422F"/>
    <w:rsid w:val="00AF5ABB"/>
    <w:rsid w:val="00B2110E"/>
    <w:rsid w:val="00B25134"/>
    <w:rsid w:val="00B33E0C"/>
    <w:rsid w:val="00B47F47"/>
    <w:rsid w:val="00B617C5"/>
    <w:rsid w:val="00BB13F6"/>
    <w:rsid w:val="00BB5D7C"/>
    <w:rsid w:val="00BC3551"/>
    <w:rsid w:val="00C34870"/>
    <w:rsid w:val="00C36A08"/>
    <w:rsid w:val="00C83615"/>
    <w:rsid w:val="00CA3D68"/>
    <w:rsid w:val="00CA4060"/>
    <w:rsid w:val="00CB1ABB"/>
    <w:rsid w:val="00CD40D6"/>
    <w:rsid w:val="00CD590B"/>
    <w:rsid w:val="00CE439D"/>
    <w:rsid w:val="00D1698D"/>
    <w:rsid w:val="00D427B6"/>
    <w:rsid w:val="00D42CE0"/>
    <w:rsid w:val="00D73A82"/>
    <w:rsid w:val="00DE66B2"/>
    <w:rsid w:val="00E018D3"/>
    <w:rsid w:val="00E20A14"/>
    <w:rsid w:val="00E50320"/>
    <w:rsid w:val="00E54ADB"/>
    <w:rsid w:val="00E772F1"/>
    <w:rsid w:val="00E83106"/>
    <w:rsid w:val="00E8441F"/>
    <w:rsid w:val="00E86EAD"/>
    <w:rsid w:val="00E870D7"/>
    <w:rsid w:val="00E93019"/>
    <w:rsid w:val="00EC4889"/>
    <w:rsid w:val="00ED15F6"/>
    <w:rsid w:val="00ED2F0B"/>
    <w:rsid w:val="00F029DC"/>
    <w:rsid w:val="00F05A74"/>
    <w:rsid w:val="00F53BBA"/>
    <w:rsid w:val="00F616A6"/>
    <w:rsid w:val="00F623BC"/>
    <w:rsid w:val="00F832B5"/>
    <w:rsid w:val="00FA5F3B"/>
    <w:rsid w:val="00FC54DD"/>
    <w:rsid w:val="00FD470B"/>
    <w:rsid w:val="00FE3BE8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B246"/>
  <w15:chartTrackingRefBased/>
  <w15:docId w15:val="{912B262D-CCF1-4FF4-A817-9F9CDD65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0B"/>
    <w:pPr>
      <w:contextualSpacing/>
    </w:pPr>
    <w:rPr>
      <w:rFonts w:cstheme="minorHAnsi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27A56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3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3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27A56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Asia 2  Akapit z listą,tekst normalny,normalny tekst,CW_Lista,Odstavec,Akapit z listą numerowaną,Podsis rysunku,lp1,Bullet List,FooterText,numbered,Paragraphe de liste1,Bulletr List Paragraph,列出段落,列出段落1,L1"/>
    <w:basedOn w:val="Normalny"/>
    <w:link w:val="AkapitzlistZnak"/>
    <w:qFormat/>
    <w:rsid w:val="00A910FA"/>
    <w:pPr>
      <w:numPr>
        <w:numId w:val="9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Asia 2  Akapit z listą Znak,tekst normalny Znak,normalny tekst Znak,CW_Lista Znak,Odstavec Znak,Akapit z listą numerowaną Znak,Podsis rysunku Znak,lp1 Znak,Bullet List Znak,FooterText Znak,列出段落 Znak"/>
    <w:link w:val="Akapitzlist"/>
    <w:uiPriority w:val="34"/>
    <w:qFormat/>
    <w:rsid w:val="00A910FA"/>
    <w:rPr>
      <w:rFonts w:ascii="Calibri" w:hAnsi="Calibri" w:cs="Times New Roman"/>
      <w:sz w:val="24"/>
      <w:szCs w:val="24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6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32C0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32C0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2C0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2C0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E32C0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2C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2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32C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E32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32C0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4E32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32C0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E32C0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1D2"/>
    <w:rPr>
      <w:rFonts w:cstheme="minorHAns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1D2"/>
    <w:rPr>
      <w:rFonts w:cstheme="minorHAns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D71D2"/>
    <w:pPr>
      <w:spacing w:after="0" w:line="240" w:lineRule="auto"/>
    </w:pPr>
    <w:rPr>
      <w:rFonts w:cstheme="minorHAnsi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941"/>
    <w:rPr>
      <w:rFonts w:cstheme="minorHAnsi"/>
      <w:kern w:val="0"/>
      <w:sz w:val="24"/>
      <w:szCs w:val="24"/>
      <w14:ligatures w14:val="none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2F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2F5941"/>
    <w:rPr>
      <w:rFonts w:cstheme="minorHAnsi"/>
      <w:kern w:val="0"/>
      <w:sz w:val="24"/>
      <w:szCs w:val="24"/>
      <w14:ligatures w14:val="none"/>
    </w:rPr>
  </w:style>
  <w:style w:type="paragraph" w:customStyle="1" w:styleId="Podstawowyakapitowy">
    <w:name w:val="[Podstawowy akapitowy]"/>
    <w:basedOn w:val="Normalny"/>
    <w:rsid w:val="00EC4889"/>
    <w:pPr>
      <w:suppressAutoHyphens/>
      <w:autoSpaceDE w:val="0"/>
      <w:spacing w:after="0" w:line="288" w:lineRule="auto"/>
      <w:contextualSpacing w:val="0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StopkaZnak1">
    <w:name w:val="Stopka Znak1"/>
    <w:aliases w:val="Znak Znak1 Znak1,Znak Znak1 Znak Znak Znak1,Znak Znak1 Znak Z + 11 pt Znak1,Wyjustowany... Znak1"/>
    <w:basedOn w:val="Domylnaczcionkaakapitu"/>
    <w:rsid w:val="00E503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B617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uiPriority w:val="99"/>
    <w:unhideWhenUsed/>
    <w:rsid w:val="0067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9D71-8279-4963-8F76-3265162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i odpowiedź do SWZ</vt:lpstr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i odpowiedź do SWZ</dc:title>
  <dc:subject/>
  <dc:creator>Jakubowska Maria</dc:creator>
  <cp:keywords/>
  <dc:description/>
  <cp:lastModifiedBy>PFRON</cp:lastModifiedBy>
  <cp:revision>16</cp:revision>
  <cp:lastPrinted>2025-05-13T09:15:00Z</cp:lastPrinted>
  <dcterms:created xsi:type="dcterms:W3CDTF">2025-05-13T05:18:00Z</dcterms:created>
  <dcterms:modified xsi:type="dcterms:W3CDTF">2025-05-13T15:42:00Z</dcterms:modified>
</cp:coreProperties>
</file>