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48D04" w14:textId="2F597850" w:rsidR="00203CF7" w:rsidRPr="00203CF7" w:rsidRDefault="00203CF7" w:rsidP="00F26A4E">
      <w:pPr>
        <w:pStyle w:val="Tekstpodstawowy2"/>
        <w:spacing w:before="120" w:after="0"/>
        <w:ind w:left="284"/>
        <w:jc w:val="right"/>
        <w:rPr>
          <w:rFonts w:ascii="Arial Narrow" w:hAnsi="Arial Narrow" w:cs="Open Sans"/>
          <w:b/>
          <w:bCs/>
          <w:sz w:val="24"/>
          <w:szCs w:val="28"/>
          <w:u w:val="single"/>
          <w:lang w:eastAsia="ar-SA"/>
        </w:rPr>
      </w:pPr>
      <w:r>
        <w:rPr>
          <w:rFonts w:ascii="Arial Narrow" w:hAnsi="Arial Narrow" w:cs="Open Sans"/>
          <w:b/>
          <w:bCs/>
          <w:sz w:val="24"/>
          <w:szCs w:val="28"/>
          <w:u w:val="single"/>
          <w:lang w:eastAsia="ar-SA"/>
        </w:rPr>
        <w:t xml:space="preserve">Istotne </w:t>
      </w:r>
      <w:r w:rsidRPr="00203CF7">
        <w:rPr>
          <w:rFonts w:ascii="Arial Narrow" w:hAnsi="Arial Narrow" w:cs="Open Sans"/>
          <w:b/>
          <w:bCs/>
          <w:sz w:val="24"/>
          <w:szCs w:val="28"/>
          <w:u w:val="single"/>
          <w:lang w:eastAsia="ar-SA"/>
        </w:rPr>
        <w:t xml:space="preserve"> postanowienia umowy </w:t>
      </w:r>
    </w:p>
    <w:p w14:paraId="57028A80" w14:textId="77777777" w:rsidR="00203CF7" w:rsidRPr="00203CF7" w:rsidRDefault="00203CF7" w:rsidP="00F26A4E">
      <w:pPr>
        <w:autoSpaceDE w:val="0"/>
        <w:autoSpaceDN w:val="0"/>
        <w:adjustRightInd w:val="0"/>
        <w:spacing w:before="60" w:after="60"/>
        <w:rPr>
          <w:rFonts w:ascii="Arial Narrow" w:hAnsi="Arial Narrow" w:cstheme="minorHAnsi"/>
          <w:b/>
          <w:color w:val="000000" w:themeColor="text1"/>
        </w:rPr>
      </w:pPr>
      <w:bookmarkStart w:id="0" w:name="_Hlk499365380"/>
      <w:bookmarkStart w:id="1" w:name="_Hlk525055608"/>
      <w:bookmarkStart w:id="2" w:name="_Hlk525370513"/>
      <w:bookmarkStart w:id="3" w:name="_Hlk500574856"/>
      <w:bookmarkStart w:id="4" w:name="_Hlk486260021"/>
    </w:p>
    <w:bookmarkEnd w:id="0"/>
    <w:bookmarkEnd w:id="1"/>
    <w:bookmarkEnd w:id="2"/>
    <w:bookmarkEnd w:id="3"/>
    <w:bookmarkEnd w:id="4"/>
    <w:p w14:paraId="1788253F" w14:textId="1F50ADCD" w:rsidR="00203CF7" w:rsidRPr="00203CF7" w:rsidRDefault="00203CF7" w:rsidP="00F26A4E">
      <w:pPr>
        <w:tabs>
          <w:tab w:val="center" w:pos="7020"/>
        </w:tabs>
        <w:jc w:val="both"/>
        <w:rPr>
          <w:rFonts w:ascii="Arial Narrow" w:hAnsi="Arial Narrow" w:cs="Open Sans"/>
          <w:color w:val="000000" w:themeColor="text1"/>
        </w:rPr>
      </w:pPr>
      <w:r w:rsidRPr="00203CF7">
        <w:rPr>
          <w:rFonts w:ascii="Arial Narrow" w:hAnsi="Arial Narrow" w:cs="Open Sans"/>
          <w:color w:val="000000" w:themeColor="text1"/>
        </w:rPr>
        <w:t>Przedmiotem zamówienia jest KOMPLEKSOWA DOSTAWA ENERGII ELEKTRYCZNEJ, OBEJMUJĄCEJ SPRZEDAŻ ENERGII ELEKTRYCZNEJ ORAZ ŚWIADCZENIE USŁUGI DYSTRYBUCJI ENERGII ELEKTRYCZNEJ.</w:t>
      </w:r>
    </w:p>
    <w:p w14:paraId="5D09A612" w14:textId="77777777" w:rsidR="00203CF7" w:rsidRPr="00203CF7" w:rsidRDefault="00203CF7" w:rsidP="00F26A4E">
      <w:pPr>
        <w:shd w:val="clear" w:color="auto" w:fill="FFFFFF"/>
        <w:tabs>
          <w:tab w:val="left" w:pos="1080"/>
        </w:tabs>
        <w:jc w:val="both"/>
        <w:rPr>
          <w:rFonts w:ascii="Arial Narrow" w:hAnsi="Arial Narrow" w:cs="Open Sans"/>
          <w:color w:val="000000" w:themeColor="text1"/>
        </w:rPr>
      </w:pPr>
      <w:r w:rsidRPr="00203CF7">
        <w:rPr>
          <w:rFonts w:ascii="Arial Narrow" w:hAnsi="Arial Narrow" w:cs="Open Sans"/>
          <w:color w:val="000000" w:themeColor="text1"/>
        </w:rPr>
        <w:t>Umowa kompleksowa zostanie zawarta pomiędzy Zamawiającym zwanym również Nabywcą a Sprzedawcą energii elektrycznej wyłonionym  w tym postępowaniu.</w:t>
      </w:r>
    </w:p>
    <w:p w14:paraId="5634E59E" w14:textId="2BD7B420" w:rsidR="00203CF7" w:rsidRPr="00203CF7" w:rsidRDefault="00203CF7" w:rsidP="00F26A4E">
      <w:pPr>
        <w:shd w:val="clear" w:color="auto" w:fill="FFFFFF"/>
        <w:tabs>
          <w:tab w:val="left" w:pos="1080"/>
        </w:tabs>
        <w:jc w:val="both"/>
        <w:rPr>
          <w:rFonts w:ascii="Arial Narrow" w:hAnsi="Arial Narrow" w:cs="Open Sans"/>
          <w:color w:val="000000" w:themeColor="text1"/>
        </w:rPr>
      </w:pPr>
      <w:r w:rsidRPr="00203CF7">
        <w:rPr>
          <w:rFonts w:ascii="Arial Narrow" w:hAnsi="Arial Narrow" w:cs="Open Sans"/>
          <w:color w:val="000000" w:themeColor="text1"/>
        </w:rPr>
        <w:t>Zawarta umowa może zawierać zapisy kompleksowego wzoru stosowanego przez Wykonawcę, który jest zgodny z wymaganiami TAURON Dystrybucja SA oraz uwzględnia wszystkie zapisy wynikające z prawa energetycznego i aktów wykonawczych a dotyczące umowy kompleksowej. Stosowany przez Wykonawcę wzór umowy kompleksowej należy rozszerzyć o istotne postanowienia umowy zawarte w niniejszej części SWZ w zakresie w jakim nie są sprzeczne z Prawem, Energetycznym. W przypadku sprzeczności pomiędzy zapisami wzoru umowy kompleksowej stosowanym przez Wykonawcę a istotnymi postanowieniami umowy kompleksowej zwartymi w niniejszym załączniku zastosowanie mają postanowienia umowy kompleksowej objęte przedmiotowym załącznikiem w zakresie w jakim nie są sprzeczne z Prawem energetycznym.</w:t>
      </w:r>
    </w:p>
    <w:p w14:paraId="4659B983" w14:textId="77777777" w:rsidR="00203CF7" w:rsidRPr="00203CF7" w:rsidRDefault="00203CF7" w:rsidP="00F26A4E">
      <w:pPr>
        <w:shd w:val="clear" w:color="auto" w:fill="FFFFFF"/>
        <w:tabs>
          <w:tab w:val="left" w:pos="1080"/>
        </w:tabs>
        <w:jc w:val="both"/>
        <w:rPr>
          <w:rFonts w:ascii="Arial Narrow" w:hAnsi="Arial Narrow" w:cs="Open Sans"/>
          <w:color w:val="000000" w:themeColor="text1"/>
        </w:rPr>
      </w:pPr>
    </w:p>
    <w:p w14:paraId="7B2EABA1" w14:textId="77777777" w:rsidR="00203CF7" w:rsidRPr="00203CF7" w:rsidRDefault="00203CF7" w:rsidP="00F26A4E">
      <w:pPr>
        <w:shd w:val="clear" w:color="auto" w:fill="FFFFFF"/>
        <w:tabs>
          <w:tab w:val="left" w:pos="1080"/>
        </w:tabs>
        <w:jc w:val="both"/>
        <w:rPr>
          <w:rFonts w:ascii="Arial Narrow" w:hAnsi="Arial Narrow" w:cs="Open Sans"/>
          <w:color w:val="000000" w:themeColor="text1"/>
        </w:rPr>
      </w:pPr>
      <w:r w:rsidRPr="00203CF7">
        <w:rPr>
          <w:rFonts w:ascii="Arial Narrow" w:hAnsi="Arial Narrow" w:cs="Open Sans"/>
          <w:color w:val="000000" w:themeColor="text1"/>
        </w:rPr>
        <w:t>Podstawę do realizacji warunków umowy stanowią :</w:t>
      </w:r>
    </w:p>
    <w:p w14:paraId="487B45E9" w14:textId="77777777" w:rsidR="00203CF7" w:rsidRPr="00203CF7" w:rsidRDefault="00203CF7" w:rsidP="00F26A4E">
      <w:pPr>
        <w:widowControl/>
        <w:numPr>
          <w:ilvl w:val="0"/>
          <w:numId w:val="6"/>
        </w:numPr>
        <w:shd w:val="clear" w:color="auto" w:fill="FFFFFF"/>
        <w:tabs>
          <w:tab w:val="left" w:pos="1080"/>
        </w:tabs>
        <w:jc w:val="both"/>
        <w:rPr>
          <w:rFonts w:ascii="Arial Narrow" w:hAnsi="Arial Narrow" w:cs="Open Sans"/>
          <w:color w:val="000000" w:themeColor="text1"/>
        </w:rPr>
      </w:pPr>
      <w:r w:rsidRPr="00203CF7">
        <w:rPr>
          <w:rFonts w:ascii="Arial Narrow" w:hAnsi="Arial Narrow" w:cs="Open Sans"/>
          <w:color w:val="000000" w:themeColor="text1"/>
        </w:rPr>
        <w:t>Ustawa Prawo energetyczne z dnia 10 kwietnia 1997 roku;</w:t>
      </w:r>
    </w:p>
    <w:p w14:paraId="3C35D064" w14:textId="77777777" w:rsidR="00203CF7" w:rsidRPr="00203CF7" w:rsidRDefault="00203CF7" w:rsidP="00F26A4E">
      <w:pPr>
        <w:widowControl/>
        <w:numPr>
          <w:ilvl w:val="0"/>
          <w:numId w:val="6"/>
        </w:numPr>
        <w:shd w:val="clear" w:color="auto" w:fill="FFFFFF"/>
        <w:tabs>
          <w:tab w:val="left" w:pos="1080"/>
        </w:tabs>
        <w:jc w:val="both"/>
        <w:rPr>
          <w:rFonts w:ascii="Arial Narrow" w:hAnsi="Arial Narrow" w:cs="Open Sans"/>
          <w:color w:val="000000" w:themeColor="text1"/>
        </w:rPr>
      </w:pPr>
      <w:r w:rsidRPr="00203CF7">
        <w:rPr>
          <w:rFonts w:ascii="Arial Narrow" w:hAnsi="Arial Narrow" w:cs="Open Sans"/>
          <w:color w:val="000000" w:themeColor="text1"/>
        </w:rPr>
        <w:t>Instrukcja Ruchu i Eksploatacji Sieci Dystrybucyjnej OSD;</w:t>
      </w:r>
    </w:p>
    <w:p w14:paraId="77885083" w14:textId="77777777" w:rsidR="00203CF7" w:rsidRPr="00203CF7" w:rsidRDefault="00203CF7" w:rsidP="00F26A4E">
      <w:pPr>
        <w:widowControl/>
        <w:numPr>
          <w:ilvl w:val="0"/>
          <w:numId w:val="6"/>
        </w:numPr>
        <w:shd w:val="clear" w:color="auto" w:fill="FFFFFF"/>
        <w:tabs>
          <w:tab w:val="left" w:pos="1080"/>
        </w:tabs>
        <w:jc w:val="both"/>
        <w:rPr>
          <w:rFonts w:ascii="Arial Narrow" w:hAnsi="Arial Narrow" w:cs="Open Sans"/>
          <w:color w:val="000000" w:themeColor="text1"/>
        </w:rPr>
      </w:pPr>
      <w:r w:rsidRPr="00203CF7">
        <w:rPr>
          <w:rFonts w:ascii="Arial Narrow" w:hAnsi="Arial Narrow" w:cs="Open Sans"/>
          <w:color w:val="000000" w:themeColor="text1"/>
        </w:rPr>
        <w:t>Instrukcja Ruchu i Eksploatacji Sieci Przesyłowej PSE – Operator SA;</w:t>
      </w:r>
    </w:p>
    <w:p w14:paraId="438596AB" w14:textId="77777777" w:rsidR="00203CF7" w:rsidRPr="00203CF7" w:rsidRDefault="00203CF7" w:rsidP="00F26A4E">
      <w:pPr>
        <w:widowControl/>
        <w:numPr>
          <w:ilvl w:val="0"/>
          <w:numId w:val="6"/>
        </w:numPr>
        <w:shd w:val="clear" w:color="auto" w:fill="FFFFFF"/>
        <w:tabs>
          <w:tab w:val="left" w:pos="1080"/>
        </w:tabs>
        <w:jc w:val="both"/>
        <w:rPr>
          <w:rFonts w:ascii="Arial Narrow" w:hAnsi="Arial Narrow" w:cs="Open Sans"/>
          <w:color w:val="000000" w:themeColor="text1"/>
        </w:rPr>
      </w:pPr>
      <w:r w:rsidRPr="00203CF7">
        <w:rPr>
          <w:rFonts w:ascii="Arial Narrow" w:hAnsi="Arial Narrow" w:cs="Open Sans"/>
          <w:color w:val="000000" w:themeColor="text1"/>
        </w:rPr>
        <w:t>Taryfa Operatora Systemu Dystrybucyjnego zatwierdzona decyzją Prezesa Urzędu Regulacji Energetyki;</w:t>
      </w:r>
    </w:p>
    <w:p w14:paraId="76F1F94E" w14:textId="77777777" w:rsidR="00203CF7" w:rsidRPr="00203CF7" w:rsidRDefault="00203CF7" w:rsidP="00F26A4E">
      <w:pPr>
        <w:widowControl/>
        <w:numPr>
          <w:ilvl w:val="0"/>
          <w:numId w:val="6"/>
        </w:numPr>
        <w:shd w:val="clear" w:color="auto" w:fill="FFFFFF"/>
        <w:tabs>
          <w:tab w:val="left" w:pos="1080"/>
        </w:tabs>
        <w:jc w:val="both"/>
        <w:rPr>
          <w:rFonts w:ascii="Arial Narrow" w:hAnsi="Arial Narrow" w:cs="Open Sans"/>
          <w:color w:val="000000" w:themeColor="text1"/>
        </w:rPr>
      </w:pPr>
      <w:r w:rsidRPr="00203CF7">
        <w:rPr>
          <w:rFonts w:ascii="Arial Narrow" w:hAnsi="Arial Narrow" w:cs="Open Sans"/>
          <w:color w:val="000000" w:themeColor="text1"/>
        </w:rPr>
        <w:t xml:space="preserve">Ustawa Prawo Zamówień publicznych z dnia 29 stycznia 2004 r. </w:t>
      </w:r>
    </w:p>
    <w:p w14:paraId="3BF627B6" w14:textId="77777777" w:rsidR="00203CF7" w:rsidRPr="00203CF7" w:rsidRDefault="00203CF7" w:rsidP="00F26A4E">
      <w:pPr>
        <w:widowControl/>
        <w:numPr>
          <w:ilvl w:val="0"/>
          <w:numId w:val="6"/>
        </w:numPr>
        <w:shd w:val="clear" w:color="auto" w:fill="FFFFFF"/>
        <w:tabs>
          <w:tab w:val="left" w:pos="1080"/>
        </w:tabs>
        <w:jc w:val="both"/>
        <w:rPr>
          <w:rFonts w:ascii="Arial Narrow" w:hAnsi="Arial Narrow" w:cs="Open Sans"/>
          <w:color w:val="000000" w:themeColor="text1"/>
        </w:rPr>
      </w:pPr>
      <w:r w:rsidRPr="00203CF7">
        <w:rPr>
          <w:rFonts w:ascii="Arial Narrow" w:hAnsi="Arial Narrow" w:cs="Open Sans"/>
          <w:color w:val="000000" w:themeColor="text1"/>
        </w:rPr>
        <w:t>Wynik postępowania o udzielenie zamówienia</w:t>
      </w:r>
      <w:r w:rsidRPr="00203CF7">
        <w:rPr>
          <w:rFonts w:ascii="Arial Narrow" w:hAnsi="Arial Narrow" w:cs="Open Sans"/>
          <w:b/>
          <w:color w:val="000000" w:themeColor="text1"/>
        </w:rPr>
        <w:t>.</w:t>
      </w:r>
    </w:p>
    <w:p w14:paraId="6D5E4D0D" w14:textId="77777777" w:rsidR="00203CF7" w:rsidRPr="00203CF7" w:rsidRDefault="00203CF7" w:rsidP="00F26A4E">
      <w:pPr>
        <w:shd w:val="clear" w:color="auto" w:fill="FFFFFF"/>
        <w:tabs>
          <w:tab w:val="left" w:pos="1080"/>
        </w:tabs>
        <w:ind w:left="720"/>
        <w:jc w:val="both"/>
        <w:rPr>
          <w:rFonts w:ascii="Arial Narrow" w:hAnsi="Arial Narrow" w:cs="Open Sans"/>
          <w:color w:val="000000" w:themeColor="text1"/>
        </w:rPr>
      </w:pPr>
    </w:p>
    <w:p w14:paraId="55BEE70E" w14:textId="04DE7490" w:rsidR="00203CF7" w:rsidRPr="00203CF7" w:rsidRDefault="00203CF7" w:rsidP="00F26A4E">
      <w:pPr>
        <w:shd w:val="clear" w:color="auto" w:fill="FFFFFF"/>
        <w:tabs>
          <w:tab w:val="left" w:pos="1080"/>
        </w:tabs>
        <w:jc w:val="both"/>
        <w:rPr>
          <w:rFonts w:ascii="Arial Narrow" w:hAnsi="Arial Narrow" w:cs="Open Sans"/>
          <w:color w:val="000000" w:themeColor="text1"/>
        </w:rPr>
      </w:pPr>
      <w:r w:rsidRPr="00203CF7">
        <w:rPr>
          <w:rFonts w:ascii="Arial Narrow" w:hAnsi="Arial Narrow" w:cs="Open Sans"/>
          <w:color w:val="000000" w:themeColor="text1"/>
        </w:rPr>
        <w:t>Umowy kompleksowe zostaną zawarte przez Sprzedawcę i Nabywcę.</w:t>
      </w:r>
    </w:p>
    <w:p w14:paraId="20192307" w14:textId="03068AFD" w:rsidR="00203CF7" w:rsidRPr="00203CF7" w:rsidRDefault="00203CF7" w:rsidP="00F26A4E">
      <w:pPr>
        <w:shd w:val="clear" w:color="auto" w:fill="FFFFFF"/>
        <w:tabs>
          <w:tab w:val="left" w:pos="1080"/>
        </w:tabs>
        <w:rPr>
          <w:rFonts w:ascii="Arial Narrow" w:hAnsi="Arial Narrow" w:cs="Open Sans"/>
          <w:color w:val="000000" w:themeColor="text1"/>
        </w:rPr>
      </w:pPr>
      <w:r w:rsidRPr="00203CF7">
        <w:rPr>
          <w:rFonts w:ascii="Arial Narrow" w:hAnsi="Arial Narrow" w:cs="Open Sans"/>
          <w:color w:val="000000" w:themeColor="text1"/>
        </w:rPr>
        <w:t>Faktury zostaną dostarczone na adresy odbiorców wskazanych w załączniku nr 1c do SWZ.</w:t>
      </w:r>
    </w:p>
    <w:p w14:paraId="4689497F" w14:textId="77777777" w:rsidR="00203CF7" w:rsidRPr="00203CF7" w:rsidRDefault="00203CF7" w:rsidP="00F26A4E">
      <w:pPr>
        <w:shd w:val="clear" w:color="auto" w:fill="FFFFFF"/>
        <w:tabs>
          <w:tab w:val="left" w:pos="1080"/>
        </w:tabs>
        <w:rPr>
          <w:rFonts w:ascii="Arial Narrow" w:hAnsi="Arial Narrow" w:cs="Open Sans"/>
          <w:color w:val="000000" w:themeColor="text1"/>
        </w:rPr>
      </w:pPr>
    </w:p>
    <w:p w14:paraId="1BD57A03" w14:textId="77777777" w:rsidR="00203CF7" w:rsidRPr="00203CF7" w:rsidRDefault="00203CF7" w:rsidP="00F26A4E">
      <w:pPr>
        <w:pStyle w:val="Default"/>
        <w:jc w:val="both"/>
        <w:rPr>
          <w:rFonts w:ascii="Arial Narrow" w:hAnsi="Arial Narrow" w:cs="Open Sans"/>
          <w:b/>
          <w:bCs/>
          <w:color w:val="000000" w:themeColor="text1"/>
          <w:sz w:val="22"/>
          <w:szCs w:val="22"/>
        </w:rPr>
      </w:pPr>
      <w:r w:rsidRPr="00203CF7">
        <w:rPr>
          <w:rFonts w:ascii="Arial Narrow" w:hAnsi="Arial Narrow" w:cs="Open Sans"/>
          <w:b/>
          <w:bCs/>
          <w:color w:val="000000" w:themeColor="text1"/>
          <w:sz w:val="22"/>
          <w:szCs w:val="22"/>
        </w:rPr>
        <w:t>Postanowienia ogólne:</w:t>
      </w:r>
    </w:p>
    <w:p w14:paraId="67B6811B" w14:textId="77777777" w:rsidR="00203CF7" w:rsidRPr="00203CF7" w:rsidRDefault="00203CF7" w:rsidP="00F26A4E">
      <w:pPr>
        <w:pStyle w:val="Default"/>
        <w:numPr>
          <w:ilvl w:val="0"/>
          <w:numId w:val="8"/>
        </w:numPr>
        <w:jc w:val="both"/>
        <w:rPr>
          <w:rFonts w:ascii="Arial Narrow" w:hAnsi="Arial Narrow" w:cs="Open Sans"/>
          <w:color w:val="000000" w:themeColor="text1"/>
          <w:sz w:val="20"/>
          <w:szCs w:val="20"/>
        </w:rPr>
      </w:pPr>
      <w:r w:rsidRPr="00203CF7">
        <w:rPr>
          <w:rFonts w:ascii="Arial Narrow" w:hAnsi="Arial Narrow" w:cs="Open Sans"/>
          <w:bCs/>
          <w:color w:val="000000" w:themeColor="text1"/>
          <w:sz w:val="20"/>
          <w:szCs w:val="20"/>
        </w:rPr>
        <w:t>Strony</w:t>
      </w:r>
      <w:r w:rsidRPr="00203CF7">
        <w:rPr>
          <w:rFonts w:ascii="Arial Narrow" w:hAnsi="Arial Narrow" w:cs="Open Sans"/>
          <w:b/>
          <w:bCs/>
          <w:color w:val="000000" w:themeColor="text1"/>
          <w:sz w:val="20"/>
          <w:szCs w:val="20"/>
        </w:rPr>
        <w:t xml:space="preserve"> </w:t>
      </w:r>
      <w:r w:rsidRPr="00203CF7">
        <w:rPr>
          <w:rFonts w:ascii="Arial Narrow" w:hAnsi="Arial Narrow" w:cs="Open Sans"/>
          <w:color w:val="000000" w:themeColor="text1"/>
          <w:sz w:val="20"/>
          <w:szCs w:val="20"/>
        </w:rPr>
        <w:t>ustalają, że umowa jest realizowana w formule umowy kompleksowej.</w:t>
      </w:r>
    </w:p>
    <w:p w14:paraId="5F83D59A" w14:textId="77777777" w:rsidR="00203CF7" w:rsidRPr="00203CF7" w:rsidRDefault="00203CF7" w:rsidP="00F26A4E">
      <w:pPr>
        <w:pStyle w:val="Default"/>
        <w:numPr>
          <w:ilvl w:val="0"/>
          <w:numId w:val="8"/>
        </w:numPr>
        <w:jc w:val="both"/>
        <w:rPr>
          <w:rFonts w:ascii="Arial Narrow" w:hAnsi="Arial Narrow" w:cs="Open Sans"/>
          <w:color w:val="000000" w:themeColor="text1"/>
          <w:sz w:val="20"/>
          <w:szCs w:val="20"/>
        </w:rPr>
      </w:pPr>
      <w:r w:rsidRPr="00203CF7">
        <w:rPr>
          <w:rFonts w:ascii="Arial Narrow" w:hAnsi="Arial Narrow" w:cs="Open Sans"/>
          <w:color w:val="000000" w:themeColor="text1"/>
          <w:sz w:val="20"/>
          <w:szCs w:val="20"/>
        </w:rPr>
        <w:t>Zamawiający i Odbiorcy posiadają tytuł prawny do swobodnego dysponowania obiektem, w którym znajduje się punkt poboru energii,</w:t>
      </w:r>
    </w:p>
    <w:p w14:paraId="5FA66B41" w14:textId="0FB3D210" w:rsidR="00203CF7" w:rsidRPr="00203CF7" w:rsidRDefault="00203CF7" w:rsidP="00F26A4E">
      <w:pPr>
        <w:pStyle w:val="Default"/>
        <w:numPr>
          <w:ilvl w:val="0"/>
          <w:numId w:val="8"/>
        </w:numPr>
        <w:jc w:val="both"/>
        <w:rPr>
          <w:rFonts w:ascii="Arial Narrow" w:hAnsi="Arial Narrow" w:cs="Open Sans"/>
          <w:color w:val="000000" w:themeColor="text1"/>
          <w:sz w:val="20"/>
          <w:szCs w:val="20"/>
        </w:rPr>
      </w:pPr>
      <w:r w:rsidRPr="00203CF7">
        <w:rPr>
          <w:rFonts w:ascii="Arial Narrow" w:hAnsi="Arial Narrow" w:cs="Open Sans"/>
          <w:color w:val="000000" w:themeColor="text1"/>
          <w:sz w:val="20"/>
          <w:szCs w:val="20"/>
        </w:rPr>
        <w:t xml:space="preserve">Wykonawca  zobowiązuje się do świadczenia usługi kompleksowej obejmującej dostawy energii elektrycznej i świadczenie usługi dystrybucji energii elektrycznej do punktów poboru energii Odbiorców wskazanych w </w:t>
      </w:r>
      <w:r w:rsidRPr="00203CF7">
        <w:rPr>
          <w:rFonts w:ascii="Arial Narrow" w:hAnsi="Arial Narrow" w:cs="Open Sans"/>
          <w:b/>
          <w:color w:val="000000" w:themeColor="text1"/>
          <w:sz w:val="20"/>
          <w:szCs w:val="20"/>
        </w:rPr>
        <w:t>Załącznik nr 1c do SWZ - wykaz punktów poboru energii obiekty</w:t>
      </w:r>
      <w:r w:rsidRPr="00203CF7">
        <w:rPr>
          <w:rFonts w:ascii="Arial Narrow" w:hAnsi="Arial Narrow" w:cs="Open Sans"/>
          <w:color w:val="000000" w:themeColor="text1"/>
          <w:sz w:val="20"/>
          <w:szCs w:val="20"/>
        </w:rPr>
        <w:t>,</w:t>
      </w:r>
    </w:p>
    <w:p w14:paraId="0E6D958D" w14:textId="77777777" w:rsidR="00203CF7" w:rsidRPr="00203CF7" w:rsidRDefault="00203CF7" w:rsidP="00F26A4E">
      <w:pPr>
        <w:pStyle w:val="Default"/>
        <w:numPr>
          <w:ilvl w:val="0"/>
          <w:numId w:val="8"/>
        </w:numPr>
        <w:jc w:val="both"/>
        <w:rPr>
          <w:rFonts w:ascii="Arial Narrow" w:hAnsi="Arial Narrow" w:cs="Open Sans"/>
          <w:color w:val="000000" w:themeColor="text1"/>
          <w:sz w:val="20"/>
          <w:szCs w:val="20"/>
        </w:rPr>
      </w:pPr>
      <w:r w:rsidRPr="00203CF7">
        <w:rPr>
          <w:rFonts w:ascii="Arial Narrow" w:hAnsi="Arial Narrow" w:cs="Open Sans"/>
          <w:color w:val="000000" w:themeColor="text1"/>
          <w:sz w:val="20"/>
          <w:szCs w:val="20"/>
        </w:rPr>
        <w:t>Zamawiający i Odbiorcy zobowiązują się do odbioru energii elektrycznej oraz terminowej zapłaty Wykonawcy należności  związanych ze świadczeniem usługi kompleksowej,</w:t>
      </w:r>
    </w:p>
    <w:p w14:paraId="1D0EFC25" w14:textId="53411AFF" w:rsidR="00203CF7" w:rsidRPr="00203CF7" w:rsidRDefault="00203CF7" w:rsidP="00F26A4E">
      <w:pPr>
        <w:pStyle w:val="Default"/>
        <w:numPr>
          <w:ilvl w:val="0"/>
          <w:numId w:val="8"/>
        </w:numPr>
        <w:jc w:val="both"/>
        <w:rPr>
          <w:rFonts w:ascii="Arial Narrow" w:hAnsi="Arial Narrow" w:cs="Open Sans"/>
          <w:color w:val="000000" w:themeColor="text1"/>
          <w:sz w:val="20"/>
          <w:szCs w:val="20"/>
        </w:rPr>
      </w:pPr>
      <w:r w:rsidRPr="00203CF7">
        <w:rPr>
          <w:rFonts w:ascii="Arial Narrow" w:hAnsi="Arial Narrow" w:cs="Open Sans"/>
          <w:color w:val="000000" w:themeColor="text1"/>
          <w:sz w:val="20"/>
          <w:szCs w:val="20"/>
        </w:rPr>
        <w:t xml:space="preserve">Dane techniczne dotyczące punktów poboru energii będą zgodne z danymi zawartymi w </w:t>
      </w:r>
      <w:r w:rsidRPr="00203CF7">
        <w:rPr>
          <w:rFonts w:ascii="Arial Narrow" w:hAnsi="Arial Narrow" w:cs="Open Sans"/>
          <w:b/>
          <w:color w:val="000000" w:themeColor="text1"/>
          <w:sz w:val="20"/>
          <w:szCs w:val="20"/>
        </w:rPr>
        <w:t>Załącznik nr 1c do SWZ - wykaz punktów poboru energii obiekty</w:t>
      </w:r>
    </w:p>
    <w:p w14:paraId="62EBDA93" w14:textId="29C72B1A" w:rsidR="00203CF7" w:rsidRPr="00203CF7" w:rsidRDefault="00203CF7" w:rsidP="00F26A4E">
      <w:pPr>
        <w:pStyle w:val="Default"/>
        <w:numPr>
          <w:ilvl w:val="0"/>
          <w:numId w:val="8"/>
        </w:numPr>
        <w:jc w:val="both"/>
        <w:rPr>
          <w:rFonts w:ascii="Arial Narrow" w:hAnsi="Arial Narrow" w:cs="Open Sans"/>
          <w:color w:val="000000" w:themeColor="text1"/>
          <w:sz w:val="20"/>
          <w:szCs w:val="20"/>
        </w:rPr>
      </w:pPr>
      <w:r w:rsidRPr="00203CF7">
        <w:rPr>
          <w:rFonts w:ascii="Arial Narrow" w:hAnsi="Arial Narrow" w:cs="Open Sans"/>
          <w:color w:val="000000" w:themeColor="text1"/>
          <w:sz w:val="20"/>
          <w:szCs w:val="20"/>
        </w:rPr>
        <w:t xml:space="preserve">Zamawiający i Odbiorcy upoważniają Wykonawcę do dokonania weryfikacji danych zawartych w </w:t>
      </w:r>
      <w:r w:rsidRPr="00203CF7">
        <w:rPr>
          <w:rFonts w:ascii="Arial Narrow" w:hAnsi="Arial Narrow" w:cs="Open Sans"/>
          <w:b/>
          <w:color w:val="000000" w:themeColor="text1"/>
          <w:sz w:val="20"/>
          <w:szCs w:val="20"/>
        </w:rPr>
        <w:t>Załączniku nr Załącznik nr 1c do SWZ - wykaz punktów poboru energii obiekty</w:t>
      </w:r>
      <w:r w:rsidR="00F26A4E">
        <w:rPr>
          <w:rFonts w:ascii="Arial Narrow" w:hAnsi="Arial Narrow" w:cs="Open Sans"/>
          <w:b/>
          <w:color w:val="000000" w:themeColor="text1"/>
          <w:sz w:val="20"/>
          <w:szCs w:val="20"/>
        </w:rPr>
        <w:t xml:space="preserve"> </w:t>
      </w:r>
      <w:r w:rsidRPr="00203CF7">
        <w:rPr>
          <w:rFonts w:ascii="Arial Narrow" w:hAnsi="Arial Narrow" w:cs="Open Sans"/>
          <w:color w:val="000000" w:themeColor="text1"/>
          <w:sz w:val="20"/>
          <w:szCs w:val="20"/>
        </w:rPr>
        <w:t>z danymi OSD i wprowadzenie ich do umów kompleksowych,</w:t>
      </w:r>
    </w:p>
    <w:p w14:paraId="0D2D3004" w14:textId="77777777" w:rsidR="00203CF7" w:rsidRPr="00203CF7" w:rsidRDefault="00203CF7" w:rsidP="00F26A4E">
      <w:pPr>
        <w:pStyle w:val="Default"/>
        <w:numPr>
          <w:ilvl w:val="0"/>
          <w:numId w:val="8"/>
        </w:numPr>
        <w:jc w:val="both"/>
        <w:rPr>
          <w:rFonts w:ascii="Arial Narrow" w:hAnsi="Arial Narrow" w:cs="Open Sans"/>
          <w:color w:val="000000" w:themeColor="text1"/>
          <w:sz w:val="20"/>
          <w:szCs w:val="20"/>
        </w:rPr>
      </w:pPr>
      <w:r w:rsidRPr="00203CF7">
        <w:rPr>
          <w:rFonts w:ascii="Arial Narrow" w:hAnsi="Arial Narrow" w:cs="Open Sans"/>
          <w:color w:val="000000" w:themeColor="text1"/>
          <w:sz w:val="20"/>
          <w:szCs w:val="20"/>
        </w:rPr>
        <w:t>Wykonawca zobowiązuje się do dostarczenia Zamawiającemu i Odbiorcom umów kompleksowych  w terminie 14 dni od dnia ich weryfikacji z OSD,</w:t>
      </w:r>
    </w:p>
    <w:p w14:paraId="1997D189" w14:textId="77777777" w:rsidR="00203CF7" w:rsidRPr="00203CF7" w:rsidRDefault="00203CF7" w:rsidP="00F26A4E">
      <w:pPr>
        <w:pStyle w:val="Default"/>
        <w:numPr>
          <w:ilvl w:val="0"/>
          <w:numId w:val="8"/>
        </w:numPr>
        <w:jc w:val="both"/>
        <w:rPr>
          <w:rFonts w:ascii="Arial Narrow" w:hAnsi="Arial Narrow" w:cs="Open Sans"/>
          <w:color w:val="000000" w:themeColor="text1"/>
          <w:sz w:val="20"/>
          <w:szCs w:val="20"/>
        </w:rPr>
      </w:pPr>
      <w:r w:rsidRPr="00203CF7">
        <w:rPr>
          <w:rFonts w:ascii="Arial Narrow" w:hAnsi="Arial Narrow" w:cs="Open Sans"/>
          <w:b/>
          <w:bCs/>
          <w:color w:val="000000" w:themeColor="text1"/>
          <w:sz w:val="20"/>
          <w:szCs w:val="20"/>
        </w:rPr>
        <w:t xml:space="preserve">Odbiorca </w:t>
      </w:r>
      <w:r w:rsidRPr="00203CF7">
        <w:rPr>
          <w:rFonts w:ascii="Arial Narrow" w:hAnsi="Arial Narrow" w:cs="Open Sans"/>
          <w:color w:val="000000" w:themeColor="text1"/>
          <w:sz w:val="20"/>
          <w:szCs w:val="20"/>
        </w:rPr>
        <w:t xml:space="preserve">ma prawo do zmiany grupy taryfowej. </w:t>
      </w:r>
    </w:p>
    <w:p w14:paraId="704E4491" w14:textId="77777777" w:rsidR="00203CF7" w:rsidRPr="00203CF7" w:rsidRDefault="00203CF7" w:rsidP="00F26A4E">
      <w:pPr>
        <w:pStyle w:val="Default"/>
        <w:numPr>
          <w:ilvl w:val="0"/>
          <w:numId w:val="8"/>
        </w:numPr>
        <w:jc w:val="both"/>
        <w:rPr>
          <w:rFonts w:ascii="Arial Narrow" w:hAnsi="Arial Narrow" w:cs="Open Sans"/>
          <w:color w:val="000000" w:themeColor="text1"/>
          <w:sz w:val="20"/>
          <w:szCs w:val="20"/>
        </w:rPr>
      </w:pPr>
      <w:r w:rsidRPr="00203CF7">
        <w:rPr>
          <w:rFonts w:ascii="Arial Narrow" w:hAnsi="Arial Narrow" w:cs="Open Sans"/>
          <w:b/>
          <w:bCs/>
          <w:color w:val="000000" w:themeColor="text1"/>
          <w:sz w:val="20"/>
          <w:szCs w:val="20"/>
        </w:rPr>
        <w:t xml:space="preserve">Odbiorca </w:t>
      </w:r>
      <w:r w:rsidRPr="00203CF7">
        <w:rPr>
          <w:rFonts w:ascii="Arial Narrow" w:hAnsi="Arial Narrow" w:cs="Open Sans"/>
          <w:color w:val="000000" w:themeColor="text1"/>
          <w:sz w:val="20"/>
          <w:szCs w:val="20"/>
        </w:rPr>
        <w:t>ma prawo do zmiany mocy umownej.</w:t>
      </w:r>
    </w:p>
    <w:p w14:paraId="05A959AD" w14:textId="77777777" w:rsidR="00203CF7" w:rsidRPr="00203CF7" w:rsidRDefault="00203CF7" w:rsidP="00F26A4E">
      <w:pPr>
        <w:pStyle w:val="Default"/>
        <w:numPr>
          <w:ilvl w:val="0"/>
          <w:numId w:val="8"/>
        </w:numPr>
        <w:jc w:val="both"/>
        <w:rPr>
          <w:rFonts w:ascii="Arial Narrow" w:hAnsi="Arial Narrow" w:cs="Open Sans"/>
          <w:color w:val="000000" w:themeColor="text1"/>
          <w:sz w:val="20"/>
          <w:szCs w:val="20"/>
        </w:rPr>
      </w:pPr>
      <w:r w:rsidRPr="00203CF7">
        <w:rPr>
          <w:rFonts w:ascii="Arial Narrow" w:hAnsi="Arial Narrow" w:cs="Open Sans"/>
          <w:color w:val="000000" w:themeColor="text1"/>
          <w:sz w:val="20"/>
          <w:szCs w:val="20"/>
        </w:rPr>
        <w:t>Zmiana warunków przyłączenia do sieci elektroenergetycznej nie będzie przesłanką do konieczności zawarcia nowej umowy na dostawy i świadczenie usług dystrybucji energii elektrycznej.</w:t>
      </w:r>
    </w:p>
    <w:p w14:paraId="4CE20402" w14:textId="77777777" w:rsidR="00203CF7" w:rsidRPr="00203CF7" w:rsidRDefault="00203CF7" w:rsidP="00F26A4E">
      <w:pPr>
        <w:pStyle w:val="Default"/>
        <w:numPr>
          <w:ilvl w:val="0"/>
          <w:numId w:val="8"/>
        </w:numPr>
        <w:jc w:val="both"/>
        <w:rPr>
          <w:rFonts w:ascii="Arial Narrow" w:hAnsi="Arial Narrow" w:cs="Open Sans"/>
          <w:color w:val="000000" w:themeColor="text1"/>
          <w:sz w:val="20"/>
          <w:szCs w:val="20"/>
        </w:rPr>
      </w:pPr>
      <w:r w:rsidRPr="00203CF7">
        <w:rPr>
          <w:rFonts w:ascii="Arial Narrow" w:hAnsi="Arial Narrow" w:cs="Open Sans"/>
          <w:color w:val="000000" w:themeColor="text1"/>
          <w:sz w:val="20"/>
          <w:szCs w:val="20"/>
        </w:rPr>
        <w:t>Odbiorca ma prawo do wglądu do materiałów stanowiących podstawę do rozliczeń za dostarczoną energię elektryczną oraz żądania przeprowadzenia kontroli poprawności wskazań urządzeń układu pomiarowo-rozliczeniowego energii elektrycznej.</w:t>
      </w:r>
    </w:p>
    <w:p w14:paraId="15C0A97B" w14:textId="77777777" w:rsidR="00203CF7" w:rsidRPr="00203CF7" w:rsidRDefault="00203CF7" w:rsidP="00F26A4E">
      <w:pPr>
        <w:pStyle w:val="Default"/>
        <w:jc w:val="both"/>
        <w:rPr>
          <w:rFonts w:ascii="Arial Narrow" w:hAnsi="Arial Narrow" w:cs="Open Sans"/>
          <w:b/>
          <w:bCs/>
          <w:color w:val="000000" w:themeColor="text1"/>
          <w:sz w:val="22"/>
          <w:szCs w:val="22"/>
        </w:rPr>
      </w:pPr>
    </w:p>
    <w:p w14:paraId="1B32849D" w14:textId="77777777" w:rsidR="00203CF7" w:rsidRPr="00203CF7" w:rsidRDefault="00203CF7" w:rsidP="00F26A4E">
      <w:pPr>
        <w:pStyle w:val="Default"/>
        <w:jc w:val="both"/>
        <w:rPr>
          <w:rFonts w:ascii="Arial Narrow" w:hAnsi="Arial Narrow" w:cs="Open Sans"/>
          <w:b/>
          <w:bCs/>
          <w:color w:val="000000" w:themeColor="text1"/>
          <w:sz w:val="22"/>
          <w:szCs w:val="22"/>
        </w:rPr>
      </w:pPr>
      <w:r w:rsidRPr="00203CF7">
        <w:rPr>
          <w:rFonts w:ascii="Arial Narrow" w:hAnsi="Arial Narrow" w:cs="Open Sans"/>
          <w:b/>
          <w:bCs/>
          <w:color w:val="000000" w:themeColor="text1"/>
          <w:sz w:val="22"/>
          <w:szCs w:val="22"/>
        </w:rPr>
        <w:t>Warunki techniczne realizacji Umowy</w:t>
      </w:r>
    </w:p>
    <w:p w14:paraId="7C1645F6" w14:textId="77777777" w:rsidR="00203CF7" w:rsidRPr="00203CF7" w:rsidRDefault="00203CF7" w:rsidP="00F26A4E">
      <w:pPr>
        <w:pStyle w:val="Default"/>
        <w:numPr>
          <w:ilvl w:val="0"/>
          <w:numId w:val="9"/>
        </w:numPr>
        <w:jc w:val="both"/>
        <w:rPr>
          <w:rFonts w:ascii="Arial Narrow" w:hAnsi="Arial Narrow" w:cs="Open Sans"/>
          <w:color w:val="000000" w:themeColor="text1"/>
          <w:sz w:val="20"/>
          <w:szCs w:val="20"/>
        </w:rPr>
      </w:pPr>
      <w:r w:rsidRPr="00203CF7">
        <w:rPr>
          <w:rFonts w:ascii="Arial Narrow" w:hAnsi="Arial Narrow" w:cs="Open Sans"/>
          <w:b/>
          <w:bCs/>
          <w:color w:val="000000" w:themeColor="text1"/>
          <w:sz w:val="20"/>
          <w:szCs w:val="20"/>
        </w:rPr>
        <w:t xml:space="preserve">Sprzedawca </w:t>
      </w:r>
      <w:r w:rsidRPr="00203CF7">
        <w:rPr>
          <w:rFonts w:ascii="Arial Narrow" w:hAnsi="Arial Narrow" w:cs="Open Sans"/>
          <w:bCs/>
          <w:color w:val="000000" w:themeColor="text1"/>
          <w:sz w:val="20"/>
          <w:szCs w:val="20"/>
        </w:rPr>
        <w:t>odpowiada za działania OSD jak za swoje.</w:t>
      </w:r>
    </w:p>
    <w:p w14:paraId="7D86E0C7" w14:textId="77777777" w:rsidR="00203CF7" w:rsidRPr="00203CF7" w:rsidRDefault="00203CF7" w:rsidP="00F26A4E">
      <w:pPr>
        <w:pStyle w:val="Default"/>
        <w:numPr>
          <w:ilvl w:val="0"/>
          <w:numId w:val="9"/>
        </w:numPr>
        <w:jc w:val="both"/>
        <w:rPr>
          <w:rFonts w:ascii="Arial Narrow" w:hAnsi="Arial Narrow" w:cs="Open Sans"/>
          <w:color w:val="000000" w:themeColor="text1"/>
          <w:sz w:val="20"/>
          <w:szCs w:val="20"/>
        </w:rPr>
      </w:pPr>
      <w:r w:rsidRPr="00203CF7">
        <w:rPr>
          <w:rFonts w:ascii="Arial Narrow" w:hAnsi="Arial Narrow" w:cs="Open Sans"/>
          <w:b/>
          <w:bCs/>
          <w:color w:val="000000" w:themeColor="text1"/>
          <w:sz w:val="20"/>
          <w:szCs w:val="20"/>
        </w:rPr>
        <w:t xml:space="preserve">OSD </w:t>
      </w:r>
      <w:r w:rsidRPr="00203CF7">
        <w:rPr>
          <w:rFonts w:ascii="Arial Narrow" w:hAnsi="Arial Narrow" w:cs="Open Sans"/>
          <w:color w:val="000000" w:themeColor="text1"/>
          <w:sz w:val="20"/>
          <w:szCs w:val="20"/>
        </w:rPr>
        <w:t xml:space="preserve">zobowiązuje się do dostarczania energii zgodnie z parametrami jakościowymi energii określonymi w przypadku sieci funkcjonującej bez zakłóceń w przepisach powszechnie obowiązujących. </w:t>
      </w:r>
    </w:p>
    <w:p w14:paraId="3A6A4095" w14:textId="325BF4BA" w:rsidR="00203CF7" w:rsidRPr="00203CF7" w:rsidRDefault="00203CF7" w:rsidP="00F26A4E">
      <w:pPr>
        <w:pStyle w:val="Default"/>
        <w:numPr>
          <w:ilvl w:val="0"/>
          <w:numId w:val="9"/>
        </w:numPr>
        <w:jc w:val="both"/>
        <w:rPr>
          <w:rFonts w:ascii="Arial Narrow" w:hAnsi="Arial Narrow" w:cs="Open Sans"/>
          <w:color w:val="000000" w:themeColor="text1"/>
          <w:sz w:val="20"/>
          <w:szCs w:val="20"/>
        </w:rPr>
      </w:pPr>
      <w:r w:rsidRPr="00203CF7">
        <w:rPr>
          <w:rFonts w:ascii="Arial Narrow" w:hAnsi="Arial Narrow" w:cs="Open Sans"/>
          <w:color w:val="000000" w:themeColor="text1"/>
          <w:sz w:val="20"/>
          <w:szCs w:val="20"/>
        </w:rPr>
        <w:t>Parametry jakościowe energii w przypadku sieci funkcjonującej bez zakłóceń obowiązujące w dniu zawierania Umowy określa Rozporządzenie Ministra Klimatu i Środowiska z 22 marca 2023 r. w sprawie szczegółowych warunków funkcjonowania systemu elektroenergetycznego (Dz. U. z 2023 r., poz. 819</w:t>
      </w:r>
      <w:r w:rsidR="00340D75">
        <w:rPr>
          <w:rFonts w:ascii="Arial Narrow" w:hAnsi="Arial Narrow" w:cs="Open Sans"/>
          <w:color w:val="000000" w:themeColor="text1"/>
          <w:sz w:val="20"/>
          <w:szCs w:val="20"/>
        </w:rPr>
        <w:t xml:space="preserve"> z późn. zm.</w:t>
      </w:r>
      <w:r w:rsidRPr="00203CF7">
        <w:rPr>
          <w:rFonts w:ascii="Arial Narrow" w:hAnsi="Arial Narrow" w:cs="Open Sans"/>
          <w:color w:val="000000" w:themeColor="text1"/>
          <w:sz w:val="20"/>
          <w:szCs w:val="20"/>
        </w:rPr>
        <w:t xml:space="preserve">) wydane na podstawie art. 9 ust. 3 i 4 ustawy z dnia 10 kwietnia 1997 r. </w:t>
      </w:r>
      <w:r w:rsidRPr="00203CF7">
        <w:rPr>
          <w:rFonts w:ascii="Arial Narrow" w:hAnsi="Arial Narrow" w:cs="Open Sans"/>
          <w:i/>
          <w:iCs/>
          <w:color w:val="000000" w:themeColor="text1"/>
          <w:sz w:val="20"/>
          <w:szCs w:val="20"/>
        </w:rPr>
        <w:t>Prawo energetyczne</w:t>
      </w:r>
      <w:r w:rsidRPr="00203CF7">
        <w:rPr>
          <w:rFonts w:ascii="Arial Narrow" w:hAnsi="Arial Narrow" w:cs="Open Sans"/>
          <w:color w:val="000000" w:themeColor="text1"/>
          <w:sz w:val="20"/>
          <w:szCs w:val="20"/>
        </w:rPr>
        <w:t xml:space="preserve">. </w:t>
      </w:r>
    </w:p>
    <w:p w14:paraId="1D176782" w14:textId="77777777" w:rsidR="00203CF7" w:rsidRPr="00203CF7" w:rsidRDefault="00203CF7" w:rsidP="00F26A4E">
      <w:pPr>
        <w:pStyle w:val="Akapitzlist"/>
        <w:widowControl/>
        <w:numPr>
          <w:ilvl w:val="0"/>
          <w:numId w:val="9"/>
        </w:numPr>
        <w:spacing w:before="40" w:after="40"/>
        <w:jc w:val="both"/>
        <w:rPr>
          <w:rFonts w:ascii="Arial Narrow" w:hAnsi="Arial Narrow" w:cs="Open Sans"/>
          <w:b/>
          <w:color w:val="000000" w:themeColor="text1"/>
        </w:rPr>
      </w:pPr>
      <w:r w:rsidRPr="00203CF7">
        <w:rPr>
          <w:rFonts w:ascii="Arial Narrow" w:hAnsi="Arial Narrow" w:cs="Open Sans"/>
          <w:color w:val="000000" w:themeColor="text1"/>
        </w:rPr>
        <w:lastRenderedPageBreak/>
        <w:t xml:space="preserve">Wykonawca zobowiązuje się do pełnienia funkcji podmiotu odpowiedzialnego za bilansowanie handlowe dla energii elektrycznej zużywanej w punktach poboru energii wskazanych w </w:t>
      </w:r>
      <w:r w:rsidRPr="00203CF7">
        <w:rPr>
          <w:rFonts w:ascii="Arial Narrow" w:hAnsi="Arial Narrow" w:cs="Open Sans"/>
          <w:b/>
          <w:color w:val="000000" w:themeColor="text1"/>
        </w:rPr>
        <w:t>Załącznik nr 1c do SWZ - wykaz punktów poboru energii obiekty.</w:t>
      </w:r>
    </w:p>
    <w:p w14:paraId="3DF798E8" w14:textId="4CA664D0" w:rsidR="00203CF7" w:rsidRPr="00203CF7" w:rsidRDefault="00203CF7" w:rsidP="00F26A4E">
      <w:pPr>
        <w:pStyle w:val="Akapitzlist"/>
        <w:widowControl/>
        <w:numPr>
          <w:ilvl w:val="0"/>
          <w:numId w:val="9"/>
        </w:numPr>
        <w:spacing w:before="40" w:after="40"/>
        <w:jc w:val="both"/>
        <w:rPr>
          <w:rFonts w:ascii="Arial Narrow" w:hAnsi="Arial Narrow" w:cs="Open Sans"/>
          <w:b/>
          <w:color w:val="000000" w:themeColor="text1"/>
        </w:rPr>
      </w:pPr>
      <w:r w:rsidRPr="00203CF7">
        <w:rPr>
          <w:rFonts w:ascii="Arial Narrow" w:hAnsi="Arial Narrow" w:cs="Open Sans"/>
          <w:color w:val="000000" w:themeColor="text1"/>
        </w:rPr>
        <w:t xml:space="preserve">Wykonawca dokonywać będzie bilansowania handlowego energii zakupionej przez Odbiorców na podstawie standardowego profilu zużycia o mocy umownej określonej w </w:t>
      </w:r>
      <w:r w:rsidRPr="00203CF7">
        <w:rPr>
          <w:rFonts w:ascii="Arial Narrow" w:hAnsi="Arial Narrow" w:cs="Open Sans"/>
          <w:b/>
          <w:color w:val="000000" w:themeColor="text1"/>
        </w:rPr>
        <w:t>Załącznik nr 1c do SWZ - wykaz punktów poboru energii obiekty.</w:t>
      </w:r>
    </w:p>
    <w:p w14:paraId="5EB1C017" w14:textId="77777777" w:rsidR="00203CF7" w:rsidRPr="00203CF7" w:rsidRDefault="00203CF7" w:rsidP="00F26A4E">
      <w:pPr>
        <w:pStyle w:val="Default"/>
        <w:numPr>
          <w:ilvl w:val="0"/>
          <w:numId w:val="9"/>
        </w:numPr>
        <w:jc w:val="both"/>
        <w:rPr>
          <w:rFonts w:ascii="Arial Narrow" w:hAnsi="Arial Narrow" w:cs="Open Sans"/>
          <w:color w:val="000000" w:themeColor="text1"/>
          <w:sz w:val="20"/>
          <w:szCs w:val="20"/>
        </w:rPr>
      </w:pPr>
      <w:r w:rsidRPr="00203CF7">
        <w:rPr>
          <w:rFonts w:ascii="Arial Narrow" w:hAnsi="Arial Narrow" w:cs="Open Sans"/>
          <w:color w:val="000000" w:themeColor="text1"/>
          <w:sz w:val="20"/>
          <w:szCs w:val="20"/>
        </w:rPr>
        <w:t>Koszty wynikające z bilansowania handlowego uwzględnione są w cenie energii elektrycznej.</w:t>
      </w:r>
    </w:p>
    <w:p w14:paraId="64231AF4" w14:textId="77777777" w:rsidR="00203CF7" w:rsidRPr="00203CF7" w:rsidRDefault="00203CF7" w:rsidP="00F26A4E">
      <w:pPr>
        <w:pStyle w:val="Default"/>
        <w:numPr>
          <w:ilvl w:val="0"/>
          <w:numId w:val="9"/>
        </w:numPr>
        <w:jc w:val="both"/>
        <w:rPr>
          <w:rFonts w:ascii="Arial Narrow" w:hAnsi="Arial Narrow" w:cs="Open Sans"/>
          <w:color w:val="000000" w:themeColor="text1"/>
          <w:sz w:val="20"/>
          <w:szCs w:val="20"/>
        </w:rPr>
      </w:pPr>
      <w:r w:rsidRPr="00203CF7">
        <w:rPr>
          <w:rFonts w:ascii="Arial Narrow" w:hAnsi="Arial Narrow" w:cs="Open Sans"/>
          <w:color w:val="000000" w:themeColor="text1"/>
          <w:sz w:val="20"/>
          <w:szCs w:val="20"/>
        </w:rPr>
        <w:t>Wszystkie prawa i obowiązki związane z bilansowanie m handlowym, w tym zgłaszanie grafików handlowych do OSD, przechodzą na Wykonawcę.</w:t>
      </w:r>
    </w:p>
    <w:p w14:paraId="31CDF25C" w14:textId="77777777" w:rsidR="00203CF7" w:rsidRPr="00203CF7" w:rsidRDefault="00203CF7" w:rsidP="00F26A4E">
      <w:pPr>
        <w:pStyle w:val="Default"/>
        <w:jc w:val="both"/>
        <w:rPr>
          <w:rFonts w:ascii="Arial Narrow" w:hAnsi="Arial Narrow" w:cs="Open Sans"/>
          <w:b/>
          <w:bCs/>
          <w:color w:val="000000" w:themeColor="text1"/>
          <w:sz w:val="22"/>
          <w:szCs w:val="22"/>
        </w:rPr>
      </w:pPr>
    </w:p>
    <w:p w14:paraId="44D78698" w14:textId="77777777" w:rsidR="00203CF7" w:rsidRPr="00203CF7" w:rsidRDefault="00203CF7" w:rsidP="00F26A4E">
      <w:pPr>
        <w:pStyle w:val="Default"/>
        <w:jc w:val="both"/>
        <w:rPr>
          <w:rFonts w:ascii="Arial Narrow" w:hAnsi="Arial Narrow" w:cs="Open Sans"/>
          <w:color w:val="000000" w:themeColor="text1"/>
          <w:sz w:val="22"/>
          <w:szCs w:val="22"/>
        </w:rPr>
      </w:pPr>
      <w:r w:rsidRPr="00203CF7">
        <w:rPr>
          <w:rFonts w:ascii="Arial Narrow" w:hAnsi="Arial Narrow" w:cs="Open Sans"/>
          <w:b/>
          <w:bCs/>
          <w:color w:val="000000" w:themeColor="text1"/>
          <w:sz w:val="22"/>
          <w:szCs w:val="22"/>
        </w:rPr>
        <w:t>Rozliczenia i warunki płatności</w:t>
      </w:r>
    </w:p>
    <w:p w14:paraId="1B534086" w14:textId="77777777" w:rsidR="00203CF7" w:rsidRPr="00203CF7" w:rsidRDefault="00203CF7" w:rsidP="00F26A4E">
      <w:pPr>
        <w:pStyle w:val="Default"/>
        <w:numPr>
          <w:ilvl w:val="0"/>
          <w:numId w:val="8"/>
        </w:numPr>
        <w:jc w:val="both"/>
        <w:rPr>
          <w:rFonts w:ascii="Arial Narrow" w:hAnsi="Arial Narrow" w:cs="Open Sans"/>
          <w:color w:val="000000" w:themeColor="text1"/>
          <w:sz w:val="20"/>
          <w:szCs w:val="20"/>
        </w:rPr>
      </w:pPr>
      <w:r w:rsidRPr="00203CF7">
        <w:rPr>
          <w:rFonts w:ascii="Arial Narrow" w:hAnsi="Arial Narrow" w:cs="Open Sans"/>
          <w:color w:val="000000" w:themeColor="text1"/>
          <w:sz w:val="20"/>
          <w:szCs w:val="20"/>
        </w:rPr>
        <w:t>Rozliczenia odbywać się będą na podstawie wskazań układów pomiarowo-rozliczeniowych w okresach miesięcznych,</w:t>
      </w:r>
    </w:p>
    <w:p w14:paraId="63DF1D35" w14:textId="35222A10" w:rsidR="00203CF7" w:rsidRPr="00203CF7" w:rsidRDefault="00203CF7" w:rsidP="00F26A4E">
      <w:pPr>
        <w:pStyle w:val="Akapitzlist"/>
        <w:widowControl/>
        <w:numPr>
          <w:ilvl w:val="0"/>
          <w:numId w:val="8"/>
        </w:numPr>
        <w:spacing w:before="40" w:after="40"/>
        <w:jc w:val="both"/>
        <w:rPr>
          <w:rFonts w:ascii="Arial Narrow" w:hAnsi="Arial Narrow" w:cs="Open Sans"/>
          <w:b/>
          <w:color w:val="000000" w:themeColor="text1"/>
        </w:rPr>
      </w:pPr>
      <w:r w:rsidRPr="00203CF7">
        <w:rPr>
          <w:rFonts w:ascii="Arial Narrow" w:hAnsi="Arial Narrow" w:cs="Open Sans"/>
          <w:color w:val="000000" w:themeColor="text1"/>
        </w:rPr>
        <w:t xml:space="preserve">Wykonawca za świadczoną usługę kompleksową wystawi Zamawiającym i Odbiorcom fakturę, którą dostarczy na adres każdego Odbiorcy wskazany w </w:t>
      </w:r>
      <w:r w:rsidRPr="00203CF7">
        <w:rPr>
          <w:rFonts w:ascii="Arial Narrow" w:hAnsi="Arial Narrow" w:cs="Open Sans"/>
          <w:b/>
          <w:color w:val="000000" w:themeColor="text1"/>
        </w:rPr>
        <w:t>Załącznik nr 1c do SWZ - wykaz punktów poboru energii obiekty.</w:t>
      </w:r>
    </w:p>
    <w:p w14:paraId="017073DE" w14:textId="77777777" w:rsidR="00203CF7" w:rsidRPr="00203CF7" w:rsidRDefault="00203CF7" w:rsidP="00F26A4E">
      <w:pPr>
        <w:pStyle w:val="Default"/>
        <w:numPr>
          <w:ilvl w:val="0"/>
          <w:numId w:val="8"/>
        </w:numPr>
        <w:jc w:val="both"/>
        <w:rPr>
          <w:rFonts w:ascii="Arial Narrow" w:hAnsi="Arial Narrow" w:cs="Open Sans"/>
          <w:color w:val="000000" w:themeColor="text1"/>
          <w:sz w:val="20"/>
          <w:szCs w:val="20"/>
        </w:rPr>
      </w:pPr>
      <w:r w:rsidRPr="00203CF7">
        <w:rPr>
          <w:rFonts w:ascii="Arial Narrow" w:hAnsi="Arial Narrow" w:cs="Open Sans"/>
          <w:color w:val="000000" w:themeColor="text1"/>
          <w:sz w:val="20"/>
          <w:szCs w:val="20"/>
        </w:rPr>
        <w:t>Rozliczenia z tytułu sprzedaży energii elektrycznej odbywać się będą na podstawie ceny wskazanej przez Wykonawcę w ofercie,</w:t>
      </w:r>
    </w:p>
    <w:p w14:paraId="5219B78E" w14:textId="77777777" w:rsidR="00203CF7" w:rsidRPr="00203CF7" w:rsidRDefault="00203CF7" w:rsidP="00F26A4E">
      <w:pPr>
        <w:widowControl/>
        <w:numPr>
          <w:ilvl w:val="0"/>
          <w:numId w:val="8"/>
        </w:numPr>
        <w:jc w:val="both"/>
        <w:rPr>
          <w:rFonts w:ascii="Arial Narrow" w:hAnsi="Arial Narrow" w:cs="Open Sans"/>
          <w:color w:val="000000" w:themeColor="text1"/>
        </w:rPr>
      </w:pPr>
      <w:r w:rsidRPr="00203CF7">
        <w:rPr>
          <w:rFonts w:ascii="Arial Narrow" w:hAnsi="Arial Narrow" w:cs="Open Sans"/>
          <w:color w:val="000000" w:themeColor="text1"/>
        </w:rPr>
        <w:t>Cena netto, wg której rozliczana będzie sprzedaż energii elektrycznej pozostanie niezmienna przez cały czas obowiązywania Umowy, za wyjątkiem ustawowej zmiany podatku akcyzowego lub zmiany ogólnie obowiązujących przepisów prawa. Ceny energii elektrycznej zostają zmienione  o kwotę wynikającą z obowiązków nałożonych właściwymi przepisami, od dnia ich wejścia w życie.</w:t>
      </w:r>
    </w:p>
    <w:p w14:paraId="3FA3AD5C" w14:textId="77777777" w:rsidR="00203CF7" w:rsidRPr="00203CF7" w:rsidRDefault="00203CF7" w:rsidP="00F26A4E">
      <w:pPr>
        <w:widowControl/>
        <w:numPr>
          <w:ilvl w:val="0"/>
          <w:numId w:val="8"/>
        </w:numPr>
        <w:jc w:val="both"/>
        <w:rPr>
          <w:rFonts w:ascii="Arial Narrow" w:hAnsi="Arial Narrow" w:cs="Open Sans"/>
          <w:color w:val="000000" w:themeColor="text1"/>
        </w:rPr>
      </w:pPr>
      <w:r w:rsidRPr="00203CF7">
        <w:rPr>
          <w:rFonts w:ascii="Arial Narrow" w:hAnsi="Arial Narrow" w:cs="Open Sans"/>
          <w:color w:val="000000" w:themeColor="text1"/>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053E8183" w14:textId="77777777" w:rsidR="00203CF7" w:rsidRPr="00203CF7" w:rsidRDefault="00203CF7" w:rsidP="00F26A4E">
      <w:pPr>
        <w:widowControl/>
        <w:numPr>
          <w:ilvl w:val="0"/>
          <w:numId w:val="8"/>
        </w:numPr>
        <w:jc w:val="both"/>
        <w:rPr>
          <w:rFonts w:ascii="Arial Narrow" w:hAnsi="Arial Narrow" w:cs="Open Sans"/>
          <w:color w:val="000000" w:themeColor="text1"/>
        </w:rPr>
      </w:pPr>
      <w:r w:rsidRPr="00203CF7">
        <w:rPr>
          <w:rFonts w:ascii="Arial Narrow" w:hAnsi="Arial Narrow" w:cs="Open Sans"/>
          <w:color w:val="000000" w:themeColor="text1"/>
        </w:rPr>
        <w:t>Do wyliczonej należności Wykonawca doliczy należny podatek VAT według obowiązującej stawki.</w:t>
      </w:r>
    </w:p>
    <w:p w14:paraId="49FB1EF5" w14:textId="77777777" w:rsidR="00203CF7" w:rsidRPr="00203CF7" w:rsidRDefault="00203CF7" w:rsidP="00F26A4E">
      <w:pPr>
        <w:widowControl/>
        <w:numPr>
          <w:ilvl w:val="0"/>
          <w:numId w:val="8"/>
        </w:numPr>
        <w:jc w:val="both"/>
        <w:rPr>
          <w:rFonts w:ascii="Arial Narrow" w:hAnsi="Arial Narrow" w:cs="Open Sans"/>
          <w:color w:val="000000" w:themeColor="text1"/>
        </w:rPr>
      </w:pPr>
      <w:r w:rsidRPr="00203CF7">
        <w:rPr>
          <w:rFonts w:ascii="Arial Narrow" w:hAnsi="Arial Narrow" w:cs="Open Sans"/>
          <w:color w:val="000000" w:themeColor="text1"/>
        </w:rPr>
        <w:t xml:space="preserve">Rozliczanie zobowiązań wynikających z tytułu zarówno sprzedaży energii elektrycznej jak i z tytułu dystrybucji energii elektrycznej (z OSD) odbywać się będzie według jednego, wspólnego układu pomiarowo – rozliczeniowego na podstawie rzeczywistych odczytów. </w:t>
      </w:r>
      <w:r w:rsidRPr="00203CF7">
        <w:rPr>
          <w:rFonts w:ascii="Arial Narrow" w:hAnsi="Arial Narrow" w:cs="Open Sans"/>
          <w:b/>
          <w:color w:val="000000" w:themeColor="text1"/>
        </w:rPr>
        <w:t>Zamawiający nie dopuszczają dokonywania rozliczenia zobowiązań na podstawie szacowanego zużycia energii.</w:t>
      </w:r>
    </w:p>
    <w:p w14:paraId="41DF88D3" w14:textId="77777777" w:rsidR="00203CF7" w:rsidRPr="00203CF7" w:rsidRDefault="00203CF7" w:rsidP="00F26A4E">
      <w:pPr>
        <w:pStyle w:val="Default"/>
        <w:numPr>
          <w:ilvl w:val="0"/>
          <w:numId w:val="8"/>
        </w:numPr>
        <w:jc w:val="both"/>
        <w:rPr>
          <w:rFonts w:ascii="Arial Narrow" w:hAnsi="Arial Narrow" w:cs="Open Sans"/>
          <w:color w:val="000000" w:themeColor="text1"/>
          <w:sz w:val="20"/>
          <w:szCs w:val="20"/>
        </w:rPr>
      </w:pPr>
      <w:r w:rsidRPr="00203CF7">
        <w:rPr>
          <w:rFonts w:ascii="Arial Narrow" w:hAnsi="Arial Narrow" w:cs="Open Sans"/>
          <w:color w:val="000000" w:themeColor="text1"/>
          <w:sz w:val="20"/>
          <w:szCs w:val="20"/>
        </w:rPr>
        <w:t>Rozliczenia z tytułu świadczenia usług dystrybucyjnych będą dokonywane na podstawie cen zawartych w aktualnie obowiązującej Taryfie ENERGA Operator SA zatwierdzonej przez Prezesa Urzędu Regulacji Energetyki,</w:t>
      </w:r>
    </w:p>
    <w:p w14:paraId="3790EF1A" w14:textId="77777777" w:rsidR="00203CF7" w:rsidRPr="00203CF7" w:rsidRDefault="00203CF7" w:rsidP="00F26A4E">
      <w:pPr>
        <w:widowControl/>
        <w:numPr>
          <w:ilvl w:val="0"/>
          <w:numId w:val="8"/>
        </w:numPr>
        <w:jc w:val="both"/>
        <w:rPr>
          <w:rFonts w:ascii="Arial Narrow" w:hAnsi="Arial Narrow" w:cs="Open Sans"/>
          <w:color w:val="000000" w:themeColor="text1"/>
        </w:rPr>
      </w:pPr>
      <w:r w:rsidRPr="00203CF7">
        <w:rPr>
          <w:rFonts w:ascii="Arial Narrow" w:hAnsi="Arial Narrow" w:cs="Open Sans"/>
          <w:color w:val="000000" w:themeColor="text1"/>
        </w:rPr>
        <w:t xml:space="preserve">Należności wynikające z faktur VAT wystawionych przez Wykonawcę są płatne w terminie nie dłuższym niż 30 dni od daty wystawienia faktury VAT oraz nie dłuższym niż 21 dni od daty doręczenia Zamawiającemu i Odbiorcom prawidłowo wystawionej faktury VAT. </w:t>
      </w:r>
    </w:p>
    <w:p w14:paraId="4E319A3A" w14:textId="77777777" w:rsidR="00203CF7" w:rsidRPr="00203CF7" w:rsidRDefault="00203CF7" w:rsidP="00F26A4E">
      <w:pPr>
        <w:widowControl/>
        <w:numPr>
          <w:ilvl w:val="0"/>
          <w:numId w:val="8"/>
        </w:numPr>
        <w:jc w:val="both"/>
        <w:rPr>
          <w:rFonts w:ascii="Arial Narrow" w:hAnsi="Arial Narrow" w:cs="Open Sans"/>
          <w:color w:val="000000" w:themeColor="text1"/>
        </w:rPr>
      </w:pPr>
      <w:r w:rsidRPr="00203CF7">
        <w:rPr>
          <w:rFonts w:ascii="Arial Narrow" w:hAnsi="Arial Narrow" w:cs="Open Sans"/>
          <w:iCs/>
          <w:color w:val="000000" w:themeColor="text1"/>
        </w:rPr>
        <w:t>Za dzień zapłaty</w:t>
      </w:r>
      <w:r w:rsidRPr="00203CF7">
        <w:rPr>
          <w:rFonts w:ascii="Arial Narrow" w:hAnsi="Arial Narrow" w:cs="Open Sans"/>
          <w:color w:val="000000" w:themeColor="text1"/>
        </w:rPr>
        <w:t xml:space="preserve"> uznaje się datę obciążenia rachunku Zamawiającego lub Odbiorcy.</w:t>
      </w:r>
    </w:p>
    <w:p w14:paraId="5FF67E7B" w14:textId="77777777" w:rsidR="00203CF7" w:rsidRPr="00203CF7" w:rsidRDefault="00203CF7" w:rsidP="00F26A4E">
      <w:pPr>
        <w:widowControl/>
        <w:numPr>
          <w:ilvl w:val="0"/>
          <w:numId w:val="8"/>
        </w:numPr>
        <w:jc w:val="both"/>
        <w:rPr>
          <w:rFonts w:ascii="Arial Narrow" w:hAnsi="Arial Narrow" w:cs="Open Sans"/>
          <w:color w:val="000000" w:themeColor="text1"/>
        </w:rPr>
      </w:pPr>
      <w:r w:rsidRPr="00203CF7">
        <w:rPr>
          <w:rFonts w:ascii="Arial Narrow" w:hAnsi="Arial Narrow" w:cs="Open Sans"/>
          <w:color w:val="000000" w:themeColor="text1"/>
        </w:rPr>
        <w:t>Za przekroczenie terminów płatności określonych w umowie, Wykonawcy przysługuje prawo do naliczania odsetek w wysokości ustawowej w stosunku do Zamawiającego lub Odbiorcy pozostającego w zwłoce.</w:t>
      </w:r>
    </w:p>
    <w:p w14:paraId="0E5F259B" w14:textId="77777777" w:rsidR="00203CF7" w:rsidRPr="00203CF7" w:rsidRDefault="00203CF7" w:rsidP="00F26A4E">
      <w:pPr>
        <w:widowControl/>
        <w:numPr>
          <w:ilvl w:val="0"/>
          <w:numId w:val="8"/>
        </w:numPr>
        <w:jc w:val="both"/>
        <w:rPr>
          <w:rFonts w:ascii="Arial Narrow" w:hAnsi="Arial Narrow" w:cs="Open Sans"/>
          <w:b/>
          <w:bCs/>
          <w:color w:val="000000" w:themeColor="text1"/>
        </w:rPr>
      </w:pPr>
      <w:r w:rsidRPr="00203CF7">
        <w:rPr>
          <w:rFonts w:ascii="Arial Narrow" w:hAnsi="Arial Narrow" w:cs="Open Sans"/>
          <w:color w:val="000000" w:themeColor="text1"/>
        </w:rPr>
        <w:t>Jakiekolwiek wierzytelności Wykonawcy wynikające z Umowy nie mogą być przedmiotem cesji na rzecz osób trzecich bez uprzedniej, pisemnej zgody Zamawiającego lub Odbiorcy.</w:t>
      </w:r>
    </w:p>
    <w:p w14:paraId="73325484" w14:textId="77777777" w:rsidR="00203CF7" w:rsidRPr="00203CF7" w:rsidRDefault="00203CF7" w:rsidP="00F26A4E">
      <w:pPr>
        <w:pStyle w:val="Default"/>
        <w:numPr>
          <w:ilvl w:val="0"/>
          <w:numId w:val="8"/>
        </w:numPr>
        <w:jc w:val="both"/>
        <w:rPr>
          <w:rFonts w:ascii="Arial Narrow" w:hAnsi="Arial Narrow" w:cs="Open Sans"/>
          <w:color w:val="000000" w:themeColor="text1"/>
          <w:sz w:val="20"/>
          <w:szCs w:val="20"/>
        </w:rPr>
      </w:pPr>
      <w:r w:rsidRPr="00203CF7">
        <w:rPr>
          <w:rFonts w:ascii="Arial Narrow" w:hAnsi="Arial Narrow" w:cs="Open Sans"/>
          <w:color w:val="000000" w:themeColor="text1"/>
          <w:sz w:val="20"/>
          <w:szCs w:val="20"/>
        </w:rPr>
        <w:t>Cena sprzedaży energii elektrycznej będzie niezmienna przez okres trwania umowy.</w:t>
      </w:r>
    </w:p>
    <w:p w14:paraId="6CE14868" w14:textId="20E56445" w:rsidR="00203CF7" w:rsidRPr="00203CF7" w:rsidRDefault="00203CF7" w:rsidP="00F26A4E">
      <w:pPr>
        <w:pStyle w:val="Default"/>
        <w:numPr>
          <w:ilvl w:val="0"/>
          <w:numId w:val="8"/>
        </w:numPr>
        <w:jc w:val="both"/>
        <w:rPr>
          <w:rFonts w:ascii="Arial Narrow" w:hAnsi="Arial Narrow" w:cs="Open Sans"/>
          <w:b/>
          <w:color w:val="000000" w:themeColor="text1"/>
          <w:sz w:val="20"/>
          <w:szCs w:val="20"/>
        </w:rPr>
      </w:pPr>
      <w:r w:rsidRPr="00203CF7">
        <w:rPr>
          <w:rFonts w:ascii="Arial Narrow" w:hAnsi="Arial Narrow" w:cs="Open Sans"/>
          <w:b/>
          <w:color w:val="000000" w:themeColor="text1"/>
          <w:sz w:val="20"/>
          <w:szCs w:val="20"/>
        </w:rPr>
        <w:t>Wykonawca dostarczy pogrupowane faktury zgodnie ze wskazaniem w Załącznik nr 1c do SWZ - wykaz punktów poboru energii obiekty w kolumnie oznaczonej ID jednostki w okresach stosowanych przez OSD na adresy Odbiorców.</w:t>
      </w:r>
    </w:p>
    <w:p w14:paraId="19A3B2BF" w14:textId="77777777" w:rsidR="00203CF7" w:rsidRPr="00203CF7" w:rsidRDefault="00203CF7" w:rsidP="00F26A4E">
      <w:pPr>
        <w:rPr>
          <w:rFonts w:ascii="Arial Narrow" w:hAnsi="Arial Narrow" w:cs="Open Sans"/>
          <w:b/>
          <w:bCs/>
          <w:color w:val="000000" w:themeColor="text1"/>
        </w:rPr>
      </w:pPr>
    </w:p>
    <w:p w14:paraId="380D11B1" w14:textId="77777777" w:rsidR="00203CF7" w:rsidRPr="00203CF7" w:rsidRDefault="00203CF7" w:rsidP="00F26A4E">
      <w:pPr>
        <w:rPr>
          <w:rFonts w:ascii="Arial Narrow" w:hAnsi="Arial Narrow" w:cs="Open Sans"/>
          <w:b/>
          <w:bCs/>
          <w:color w:val="000000" w:themeColor="text1"/>
        </w:rPr>
      </w:pPr>
      <w:r w:rsidRPr="00203CF7">
        <w:rPr>
          <w:rFonts w:ascii="Arial Narrow" w:hAnsi="Arial Narrow" w:cs="Open Sans"/>
          <w:b/>
          <w:bCs/>
          <w:color w:val="000000" w:themeColor="text1"/>
        </w:rPr>
        <w:t>Czas obowiązywania Umowy i warunki i koszty jej rozwiązania</w:t>
      </w:r>
    </w:p>
    <w:p w14:paraId="686C9801" w14:textId="3809E87F" w:rsidR="00203CF7" w:rsidRPr="00203CF7" w:rsidRDefault="00203CF7" w:rsidP="00F26A4E">
      <w:pPr>
        <w:pStyle w:val="Akapitzlist"/>
        <w:widowControl/>
        <w:numPr>
          <w:ilvl w:val="0"/>
          <w:numId w:val="7"/>
        </w:numPr>
        <w:jc w:val="both"/>
        <w:rPr>
          <w:rFonts w:ascii="Arial Narrow" w:hAnsi="Arial Narrow" w:cs="Open Sans"/>
          <w:color w:val="000000" w:themeColor="text1"/>
        </w:rPr>
      </w:pPr>
      <w:r w:rsidRPr="00203CF7">
        <w:rPr>
          <w:rFonts w:ascii="Arial Narrow" w:hAnsi="Arial Narrow" w:cs="Open Sans"/>
          <w:color w:val="000000" w:themeColor="text1"/>
        </w:rPr>
        <w:t xml:space="preserve">Umowa wchodzi w życie z dniem </w:t>
      </w:r>
      <w:r w:rsidRPr="00203CF7">
        <w:rPr>
          <w:rFonts w:ascii="Arial Narrow" w:hAnsi="Arial Narrow" w:cs="Open Sans"/>
          <w:b/>
          <w:color w:val="000000" w:themeColor="text1"/>
        </w:rPr>
        <w:t>01.01.202</w:t>
      </w:r>
      <w:r w:rsidR="00F26A4E">
        <w:rPr>
          <w:rFonts w:ascii="Arial Narrow" w:hAnsi="Arial Narrow" w:cs="Open Sans"/>
          <w:b/>
          <w:color w:val="000000" w:themeColor="text1"/>
        </w:rPr>
        <w:t>5</w:t>
      </w:r>
      <w:r w:rsidRPr="00203CF7">
        <w:rPr>
          <w:rFonts w:ascii="Arial Narrow" w:hAnsi="Arial Narrow" w:cs="Open Sans"/>
          <w:b/>
          <w:color w:val="000000" w:themeColor="text1"/>
        </w:rPr>
        <w:t xml:space="preserve"> r. </w:t>
      </w:r>
      <w:r w:rsidRPr="00203CF7">
        <w:rPr>
          <w:rFonts w:ascii="Arial Narrow" w:hAnsi="Arial Narrow" w:cs="Open Sans"/>
          <w:color w:val="000000" w:themeColor="text1"/>
        </w:rPr>
        <w:t xml:space="preserve">i zostaje zawarta na czas określony do </w:t>
      </w:r>
      <w:r w:rsidRPr="00203CF7">
        <w:rPr>
          <w:rFonts w:ascii="Arial Narrow" w:hAnsi="Arial Narrow" w:cs="Open Sans"/>
          <w:b/>
          <w:color w:val="000000" w:themeColor="text1"/>
        </w:rPr>
        <w:t>31.12.202</w:t>
      </w:r>
      <w:r w:rsidR="00F26A4E">
        <w:rPr>
          <w:rFonts w:ascii="Arial Narrow" w:hAnsi="Arial Narrow" w:cs="Open Sans"/>
          <w:b/>
          <w:color w:val="000000" w:themeColor="text1"/>
        </w:rPr>
        <w:t>5</w:t>
      </w:r>
      <w:r w:rsidRPr="00203CF7">
        <w:rPr>
          <w:rFonts w:ascii="Arial Narrow" w:hAnsi="Arial Narrow" w:cs="Open Sans"/>
          <w:b/>
          <w:color w:val="000000" w:themeColor="text1"/>
        </w:rPr>
        <w:t xml:space="preserve"> r.</w:t>
      </w:r>
      <w:r w:rsidRPr="00203CF7">
        <w:rPr>
          <w:rFonts w:ascii="Arial Narrow" w:hAnsi="Arial Narrow" w:cs="Open Sans"/>
          <w:color w:val="000000" w:themeColor="text1"/>
        </w:rPr>
        <w:t xml:space="preserve"> </w:t>
      </w:r>
    </w:p>
    <w:p w14:paraId="29103D00" w14:textId="77777777" w:rsidR="00203CF7" w:rsidRPr="00203CF7" w:rsidRDefault="00203CF7" w:rsidP="00F26A4E">
      <w:pPr>
        <w:pStyle w:val="Default"/>
        <w:numPr>
          <w:ilvl w:val="0"/>
          <w:numId w:val="7"/>
        </w:numPr>
        <w:jc w:val="both"/>
        <w:rPr>
          <w:rFonts w:ascii="Arial Narrow" w:hAnsi="Arial Narrow" w:cs="Open Sans"/>
          <w:color w:val="000000" w:themeColor="text1"/>
          <w:sz w:val="20"/>
          <w:szCs w:val="20"/>
        </w:rPr>
      </w:pPr>
      <w:r w:rsidRPr="00203CF7">
        <w:rPr>
          <w:rFonts w:ascii="Arial Narrow" w:hAnsi="Arial Narrow" w:cs="Open Sans"/>
          <w:b/>
          <w:bCs/>
          <w:color w:val="000000" w:themeColor="text1"/>
          <w:sz w:val="20"/>
          <w:szCs w:val="20"/>
        </w:rPr>
        <w:t xml:space="preserve">Zamawiającemu i Odbiorcy </w:t>
      </w:r>
      <w:r w:rsidRPr="00203CF7">
        <w:rPr>
          <w:rFonts w:ascii="Arial Narrow" w:hAnsi="Arial Narrow" w:cs="Open Sans"/>
          <w:color w:val="000000" w:themeColor="text1"/>
          <w:sz w:val="20"/>
          <w:szCs w:val="20"/>
        </w:rPr>
        <w:t xml:space="preserve">przysługuje prawo wypowiedzenia Umowy, z zachowaniem miesięcznego okresu wypowiedzenia, ze skutkiem na koniec miesiąca kalendarzowego. Wypowiedzenie wymaga dla swej skuteczności zachowania formy pisemnej. </w:t>
      </w:r>
    </w:p>
    <w:p w14:paraId="6F00EC48" w14:textId="77777777" w:rsidR="00203CF7" w:rsidRPr="00203CF7" w:rsidRDefault="00203CF7" w:rsidP="00F26A4E">
      <w:pPr>
        <w:widowControl/>
        <w:numPr>
          <w:ilvl w:val="0"/>
          <w:numId w:val="7"/>
        </w:numPr>
        <w:tabs>
          <w:tab w:val="left" w:pos="720"/>
        </w:tabs>
        <w:autoSpaceDE w:val="0"/>
        <w:jc w:val="both"/>
        <w:rPr>
          <w:rFonts w:ascii="Arial Narrow" w:hAnsi="Arial Narrow" w:cs="Open Sans"/>
          <w:color w:val="000000" w:themeColor="text1"/>
        </w:rPr>
      </w:pPr>
      <w:r w:rsidRPr="00203CF7">
        <w:rPr>
          <w:rFonts w:ascii="Arial Narrow" w:hAnsi="Arial Narrow" w:cs="Open Sans"/>
          <w:color w:val="000000" w:themeColor="text1"/>
        </w:rPr>
        <w:t xml:space="preserve">Wykonawca zapłaci Zamawiającemu i Odbiorcy karę umowną za odstąpienie od Umowy przez Zamawiającego, Odbiorcę lub Wykonawcę z przyczyn leżących po stronie Wykonawcy w wysokości 10% wartości brutto Umowy stanowiącej iloczyn szacunkowej wysokości zużycia energii elektrycznej w okresie trwania Umowy, oraz ceny jednostkowej za 1 MWh brutto, </w:t>
      </w:r>
    </w:p>
    <w:p w14:paraId="11758AB5" w14:textId="77777777" w:rsidR="00203CF7" w:rsidRPr="00203CF7" w:rsidRDefault="00203CF7" w:rsidP="00F26A4E">
      <w:pPr>
        <w:widowControl/>
        <w:numPr>
          <w:ilvl w:val="0"/>
          <w:numId w:val="7"/>
        </w:numPr>
        <w:tabs>
          <w:tab w:val="left" w:pos="720"/>
        </w:tabs>
        <w:autoSpaceDE w:val="0"/>
        <w:jc w:val="both"/>
        <w:rPr>
          <w:rFonts w:ascii="Arial Narrow" w:hAnsi="Arial Narrow" w:cs="Open Sans"/>
          <w:color w:val="000000" w:themeColor="text1"/>
        </w:rPr>
      </w:pPr>
      <w:r w:rsidRPr="00203CF7">
        <w:rPr>
          <w:rFonts w:ascii="Arial Narrow" w:hAnsi="Arial Narrow" w:cs="Open Sans"/>
          <w:color w:val="000000" w:themeColor="text1"/>
        </w:rPr>
        <w:t>Zamawiający/Odbiorca zapłaci Wykonawcy karę umowną za odstąpienie od Umowy przez Zamawiającego, Odbiorcę z przyczyn leżących po stronie Zamawiającego/Odbiorcy w wysokości 10% wartości brutto Umowy stanowiącej iloczyn szacunkowej wysokości zużycia energii elektrycznej w okresie trwania Umowy, oraz ceny jednostkowej za 1 MWh brutto</w:t>
      </w:r>
    </w:p>
    <w:p w14:paraId="655701AA" w14:textId="77777777" w:rsidR="00203CF7" w:rsidRPr="00203CF7" w:rsidRDefault="00203CF7" w:rsidP="00F26A4E">
      <w:pPr>
        <w:widowControl/>
        <w:numPr>
          <w:ilvl w:val="0"/>
          <w:numId w:val="7"/>
        </w:numPr>
        <w:tabs>
          <w:tab w:val="left" w:pos="720"/>
        </w:tabs>
        <w:autoSpaceDE w:val="0"/>
        <w:jc w:val="both"/>
        <w:rPr>
          <w:rFonts w:ascii="Arial Narrow" w:hAnsi="Arial Narrow" w:cs="Open Sans"/>
          <w:color w:val="000000" w:themeColor="text1"/>
        </w:rPr>
      </w:pPr>
      <w:r w:rsidRPr="00203CF7">
        <w:rPr>
          <w:rFonts w:ascii="Arial Narrow" w:hAnsi="Arial Narrow" w:cs="Open Sans"/>
          <w:color w:val="000000" w:themeColor="text1"/>
        </w:rPr>
        <w:lastRenderedPageBreak/>
        <w:t>Łączna maksymalna wysokość kar, których mogą dochodzić strony wynosi 10 % wartości brutto Umowy stanowiącej iloczyn szacunkowej wysokości zużycia energii elektrycznej w okresie trwania Umowy, oraz ceny jednostkowej za 1 MWh brutto.</w:t>
      </w:r>
    </w:p>
    <w:p w14:paraId="55E7D4A3" w14:textId="77777777" w:rsidR="00203CF7" w:rsidRPr="00203CF7" w:rsidRDefault="00203CF7" w:rsidP="00F26A4E">
      <w:pPr>
        <w:pStyle w:val="Akapitzlist"/>
        <w:widowControl/>
        <w:numPr>
          <w:ilvl w:val="0"/>
          <w:numId w:val="7"/>
        </w:numPr>
        <w:autoSpaceDE w:val="0"/>
        <w:autoSpaceDN w:val="0"/>
        <w:adjustRightInd w:val="0"/>
        <w:rPr>
          <w:rFonts w:ascii="Arial Narrow" w:hAnsi="Arial Narrow" w:cs="Open Sans"/>
          <w:color w:val="000000"/>
        </w:rPr>
      </w:pPr>
      <w:r w:rsidRPr="00203CF7">
        <w:rPr>
          <w:rFonts w:ascii="Arial Narrow" w:hAnsi="Arial Narrow" w:cs="Open Sans"/>
          <w:color w:val="000000"/>
        </w:rPr>
        <w:t xml:space="preserve">W przypadku wystąpienia szkody przenoszącej wysokość kar umownych stronom przysługuje możliwość dochodzenia odszkodowania uzupełniającego na zasadach ogólnych. </w:t>
      </w:r>
    </w:p>
    <w:p w14:paraId="39D5510D" w14:textId="77777777" w:rsidR="00203CF7" w:rsidRPr="00203CF7" w:rsidRDefault="00203CF7" w:rsidP="00F26A4E">
      <w:pPr>
        <w:rPr>
          <w:rFonts w:ascii="Arial Narrow" w:hAnsi="Arial Narrow" w:cs="Open Sans"/>
          <w:b/>
          <w:bCs/>
          <w:color w:val="000000" w:themeColor="text1"/>
        </w:rPr>
      </w:pPr>
    </w:p>
    <w:p w14:paraId="47931F69" w14:textId="77777777" w:rsidR="00203CF7" w:rsidRPr="00203CF7" w:rsidRDefault="00203CF7" w:rsidP="00F26A4E">
      <w:pPr>
        <w:rPr>
          <w:rFonts w:ascii="Arial Narrow" w:hAnsi="Arial Narrow" w:cs="Open Sans"/>
          <w:b/>
          <w:bCs/>
          <w:color w:val="000000" w:themeColor="text1"/>
        </w:rPr>
      </w:pPr>
      <w:r w:rsidRPr="00203CF7">
        <w:rPr>
          <w:rFonts w:ascii="Arial Narrow" w:hAnsi="Arial Narrow" w:cs="Open Sans"/>
          <w:b/>
          <w:bCs/>
          <w:color w:val="000000" w:themeColor="text1"/>
        </w:rPr>
        <w:t>Standardy jakości obsługi</w:t>
      </w:r>
    </w:p>
    <w:p w14:paraId="7228E81E" w14:textId="0933E7E4" w:rsidR="00203CF7" w:rsidRPr="00203CF7" w:rsidRDefault="00203CF7" w:rsidP="00F26A4E">
      <w:pPr>
        <w:pStyle w:val="Akapitzlist"/>
        <w:widowControl/>
        <w:numPr>
          <w:ilvl w:val="0"/>
          <w:numId w:val="10"/>
        </w:numPr>
        <w:spacing w:before="40" w:after="40"/>
        <w:jc w:val="both"/>
        <w:rPr>
          <w:rFonts w:ascii="Arial Narrow" w:hAnsi="Arial Narrow" w:cs="Open Sans"/>
          <w:color w:val="000000" w:themeColor="text1"/>
        </w:rPr>
      </w:pPr>
      <w:r w:rsidRPr="00203CF7">
        <w:rPr>
          <w:rFonts w:ascii="Arial Narrow" w:hAnsi="Arial Narrow" w:cs="Open Sans"/>
          <w:color w:val="000000" w:themeColor="text1"/>
        </w:rPr>
        <w:t>Standardy jakości obsługi klienta zostały określone w Rozporządzeniu Ministra Klimatu i Środowiska z dnia 29 listopada 2022 r. w sprawie sposobu kształtowania i kalkulacji taryf oraz sposobu rozliczeń w obrocie energią elektryczną (Dz.U. 202</w:t>
      </w:r>
      <w:r w:rsidR="00340D75">
        <w:rPr>
          <w:rFonts w:ascii="Arial Narrow" w:hAnsi="Arial Narrow" w:cs="Open Sans"/>
          <w:color w:val="000000" w:themeColor="text1"/>
        </w:rPr>
        <w:t>4</w:t>
      </w:r>
      <w:r w:rsidRPr="00203CF7">
        <w:rPr>
          <w:rFonts w:ascii="Arial Narrow" w:hAnsi="Arial Narrow" w:cs="Open Sans"/>
          <w:color w:val="000000" w:themeColor="text1"/>
        </w:rPr>
        <w:t xml:space="preserve"> poz. </w:t>
      </w:r>
      <w:r w:rsidR="00340D75">
        <w:rPr>
          <w:rFonts w:ascii="Arial Narrow" w:hAnsi="Arial Narrow" w:cs="Open Sans"/>
          <w:color w:val="000000" w:themeColor="text1"/>
        </w:rPr>
        <w:t>904</w:t>
      </w:r>
      <w:r w:rsidRPr="00203CF7">
        <w:rPr>
          <w:rFonts w:ascii="Arial Narrow" w:hAnsi="Arial Narrow" w:cs="Open Sans"/>
          <w:color w:val="000000" w:themeColor="text1"/>
        </w:rPr>
        <w:t>).</w:t>
      </w:r>
    </w:p>
    <w:p w14:paraId="265DB319" w14:textId="77777777" w:rsidR="00203CF7" w:rsidRPr="00203CF7" w:rsidRDefault="00203CF7" w:rsidP="00F26A4E">
      <w:pPr>
        <w:widowControl/>
        <w:numPr>
          <w:ilvl w:val="0"/>
          <w:numId w:val="10"/>
        </w:numPr>
        <w:jc w:val="both"/>
        <w:rPr>
          <w:rFonts w:ascii="Arial Narrow" w:hAnsi="Arial Narrow" w:cs="Open Sans"/>
          <w:color w:val="000000" w:themeColor="text1"/>
        </w:rPr>
      </w:pPr>
      <w:r w:rsidRPr="00203CF7">
        <w:rPr>
          <w:rFonts w:ascii="Arial Narrow" w:hAnsi="Arial Narrow" w:cs="Open Sans"/>
          <w:color w:val="000000" w:themeColor="text1"/>
        </w:rPr>
        <w:t>W przypadku niedotrzymania jakościowych standardów obsługi Zamawiającemu przysługuje prawo bonifikaty według stawek określonych w wyżej wymienionym rozporządzeniu.</w:t>
      </w:r>
    </w:p>
    <w:p w14:paraId="73AC84A5" w14:textId="77777777" w:rsidR="00203CF7" w:rsidRPr="00203CF7" w:rsidRDefault="00203CF7" w:rsidP="00F26A4E">
      <w:pPr>
        <w:widowControl/>
        <w:numPr>
          <w:ilvl w:val="0"/>
          <w:numId w:val="10"/>
        </w:numPr>
        <w:jc w:val="both"/>
        <w:rPr>
          <w:rFonts w:ascii="Arial Narrow" w:hAnsi="Arial Narrow" w:cs="Open Sans"/>
          <w:color w:val="000000" w:themeColor="text1"/>
        </w:rPr>
      </w:pPr>
      <w:r w:rsidRPr="00203CF7">
        <w:rPr>
          <w:rFonts w:ascii="Arial Narrow" w:hAnsi="Arial Narrow" w:cs="Open Sans"/>
          <w:color w:val="000000" w:themeColor="text1"/>
        </w:rPr>
        <w:t>Wykonawca uwzględni należną Zamawiającemu bonifikatę w fakturze wystawionej za okres rozliczeniowy, którego bonifikata dotyczy, a jeżeli nie jest to możliwe z przyczyn, za które Wykonawca nie ponosi odpowiedzialności, najpóźniej w fakturze za następny, bezpośrednio przypadający okres rozliczeniowy, w stosunku do okresu rozliczeniowego, którego dotyczy bonifikata. Zamawiający dopuszcza rozliczenia bonifikaty na podstawie stosownej noty. Rozliczenia bonifikaty dokonane zostaną  nie później niż 30 dni od dnia, w którym nastąpiło niedotrzymanie standardów jakościowych obsługi odbiorców.</w:t>
      </w:r>
    </w:p>
    <w:p w14:paraId="3C69A17B" w14:textId="77777777" w:rsidR="00203CF7" w:rsidRPr="00203CF7" w:rsidRDefault="00203CF7" w:rsidP="00F26A4E">
      <w:pPr>
        <w:rPr>
          <w:rFonts w:ascii="Arial Narrow" w:hAnsi="Arial Narrow" w:cs="Open Sans"/>
          <w:b/>
          <w:color w:val="000000" w:themeColor="text1"/>
        </w:rPr>
      </w:pPr>
    </w:p>
    <w:p w14:paraId="27C01A70" w14:textId="489E603C" w:rsidR="00F26A4E" w:rsidRDefault="00F26A4E" w:rsidP="00F26A4E">
      <w:pPr>
        <w:rPr>
          <w:rFonts w:ascii="Arial Narrow" w:hAnsi="Arial Narrow" w:cs="Open Sans"/>
          <w:b/>
          <w:color w:val="000000" w:themeColor="text1"/>
        </w:rPr>
      </w:pPr>
      <w:r>
        <w:rPr>
          <w:rFonts w:ascii="Arial Narrow" w:hAnsi="Arial Narrow" w:cs="Open Sans"/>
          <w:b/>
          <w:color w:val="000000" w:themeColor="text1"/>
        </w:rPr>
        <w:t>Pełnomocnictwo.</w:t>
      </w:r>
    </w:p>
    <w:p w14:paraId="02DBBD37" w14:textId="3C8BFE8A" w:rsidR="00F26A4E" w:rsidRPr="00F26A4E" w:rsidRDefault="00F26A4E" w:rsidP="00F26A4E">
      <w:pPr>
        <w:rPr>
          <w:rFonts w:ascii="Arial Narrow" w:hAnsi="Arial Narrow" w:cs="Open Sans"/>
          <w:bCs/>
          <w:color w:val="000000" w:themeColor="text1"/>
        </w:rPr>
      </w:pPr>
      <w:r w:rsidRPr="00F26A4E">
        <w:rPr>
          <w:rFonts w:ascii="Arial Narrow" w:hAnsi="Arial Narrow" w:cs="Open Sans"/>
          <w:bCs/>
          <w:color w:val="000000" w:themeColor="text1"/>
        </w:rPr>
        <w:t>Zamawiający zobowiązuje się do podpisania pełnomocnictwa do dokonania wymienionych czynności związanych ze zmianą sprzedawcy energii elektrycznej wg wzoru powszechnie stosowanego przez Wykonawcę.</w:t>
      </w:r>
    </w:p>
    <w:p w14:paraId="560BA470" w14:textId="77777777" w:rsidR="00F26A4E" w:rsidRDefault="00F26A4E" w:rsidP="00F26A4E">
      <w:pPr>
        <w:rPr>
          <w:rFonts w:ascii="Arial Narrow" w:hAnsi="Arial Narrow" w:cs="Open Sans"/>
          <w:b/>
          <w:color w:val="000000" w:themeColor="text1"/>
        </w:rPr>
      </w:pPr>
    </w:p>
    <w:p w14:paraId="3B64C91F" w14:textId="44FC8D28" w:rsidR="00203CF7" w:rsidRPr="00203CF7" w:rsidRDefault="00203CF7" w:rsidP="00F26A4E">
      <w:pPr>
        <w:rPr>
          <w:rFonts w:ascii="Arial Narrow" w:hAnsi="Arial Narrow" w:cs="Open Sans"/>
          <w:b/>
          <w:color w:val="000000" w:themeColor="text1"/>
        </w:rPr>
      </w:pPr>
      <w:r w:rsidRPr="00203CF7">
        <w:rPr>
          <w:rFonts w:ascii="Arial Narrow" w:hAnsi="Arial Narrow" w:cs="Open Sans"/>
          <w:b/>
          <w:color w:val="000000" w:themeColor="text1"/>
        </w:rPr>
        <w:t>Warunki zmiany zakresu zamówienia i umowy</w:t>
      </w:r>
    </w:p>
    <w:p w14:paraId="24847125" w14:textId="77777777" w:rsidR="00203CF7" w:rsidRPr="00203CF7" w:rsidRDefault="00203CF7" w:rsidP="00F26A4E">
      <w:pPr>
        <w:pStyle w:val="Akapitzlist"/>
        <w:widowControl/>
        <w:numPr>
          <w:ilvl w:val="1"/>
          <w:numId w:val="2"/>
        </w:numPr>
        <w:spacing w:before="60" w:after="60"/>
        <w:ind w:left="426"/>
        <w:jc w:val="both"/>
        <w:rPr>
          <w:rFonts w:ascii="Arial Narrow" w:hAnsi="Arial Narrow" w:cs="Open Sans"/>
          <w:color w:val="000000" w:themeColor="text1"/>
        </w:rPr>
      </w:pPr>
      <w:r w:rsidRPr="00203CF7">
        <w:rPr>
          <w:rFonts w:ascii="Arial Narrow" w:hAnsi="Arial Narrow" w:cs="Open Sans"/>
          <w:color w:val="000000" w:themeColor="text1"/>
        </w:rPr>
        <w:t>W toku realizacji Umowy Zamawiający, zastrzega sobie prawo do zmniejszenia lub zwiększenia łącznej ilości zakupionej energii elektrycznej zakresie do  ± 20 %, względem złożonej oferty. Zaistnienie okoliczności, o której mowa powyżej, spowoduje odpowiednio zmniejszenie lub zwiększenie wynagrodzenia należnego Wykonawcy z tytułu niniejszej Umowy. Zwiększenie lub zmniejszenie ilości energii elektrycznej nie stanowi podstawy do jakichkolwiek roszczeń ze strony Wykonawcy.</w:t>
      </w:r>
    </w:p>
    <w:p w14:paraId="07F56BD7" w14:textId="77777777" w:rsidR="00203CF7" w:rsidRPr="00203CF7" w:rsidRDefault="00203CF7" w:rsidP="00F26A4E">
      <w:pPr>
        <w:pStyle w:val="Akapitzlist"/>
        <w:widowControl/>
        <w:numPr>
          <w:ilvl w:val="1"/>
          <w:numId w:val="2"/>
        </w:numPr>
        <w:spacing w:before="60" w:after="60"/>
        <w:ind w:left="426"/>
        <w:jc w:val="both"/>
        <w:rPr>
          <w:rFonts w:ascii="Arial Narrow" w:hAnsi="Arial Narrow" w:cs="Open Sans"/>
          <w:color w:val="000000" w:themeColor="text1"/>
        </w:rPr>
      </w:pPr>
      <w:r w:rsidRPr="00203CF7">
        <w:rPr>
          <w:rFonts w:ascii="Arial Narrow" w:hAnsi="Arial Narrow" w:cs="Open Sans"/>
          <w:color w:val="000000" w:themeColor="text1"/>
        </w:rPr>
        <w:t>Zakres i zasady dokonania zmian:</w:t>
      </w:r>
    </w:p>
    <w:p w14:paraId="6D36D0F3" w14:textId="77777777" w:rsidR="00203CF7" w:rsidRPr="00203CF7" w:rsidRDefault="00203CF7" w:rsidP="00F26A4E">
      <w:pPr>
        <w:pStyle w:val="Akapitzlist"/>
        <w:widowControl/>
        <w:numPr>
          <w:ilvl w:val="1"/>
          <w:numId w:val="11"/>
        </w:numPr>
        <w:spacing w:before="60" w:after="60"/>
        <w:ind w:left="851"/>
        <w:jc w:val="both"/>
        <w:rPr>
          <w:rFonts w:ascii="Arial Narrow" w:hAnsi="Arial Narrow" w:cs="Open Sans"/>
          <w:color w:val="000000" w:themeColor="text1"/>
        </w:rPr>
      </w:pPr>
      <w:r w:rsidRPr="00203CF7">
        <w:rPr>
          <w:rFonts w:ascii="Arial Narrow" w:hAnsi="Arial Narrow" w:cs="Open Sans"/>
          <w:color w:val="000000" w:themeColor="text1"/>
        </w:rPr>
        <w:t xml:space="preserve">zmniejszenie ilości energii elektrycznej wynikające ze zużycia energii elektrycznej wg bieżących odczytów z układu pomiarowo - rozliczeniowego, które będzie różne od ilości energii elektrycznej wskazanego poniżej, odbywa się automatycznie,  na podstawie bieżącego zużycia energii elektrycznej na wystawianych fakturach, </w:t>
      </w:r>
    </w:p>
    <w:p w14:paraId="6AFADCCE" w14:textId="77777777" w:rsidR="00203CF7" w:rsidRPr="00203CF7" w:rsidRDefault="00203CF7" w:rsidP="00F26A4E">
      <w:pPr>
        <w:pStyle w:val="Akapitzlist"/>
        <w:widowControl/>
        <w:numPr>
          <w:ilvl w:val="1"/>
          <w:numId w:val="11"/>
        </w:numPr>
        <w:spacing w:before="60" w:after="60"/>
        <w:ind w:left="851"/>
        <w:jc w:val="both"/>
        <w:rPr>
          <w:rFonts w:ascii="Arial Narrow" w:hAnsi="Arial Narrow" w:cs="Open Sans"/>
          <w:color w:val="000000" w:themeColor="text1"/>
        </w:rPr>
      </w:pPr>
      <w:r w:rsidRPr="00203CF7">
        <w:rPr>
          <w:rFonts w:ascii="Arial Narrow" w:hAnsi="Arial Narrow" w:cs="Open Sans"/>
          <w:color w:val="000000" w:themeColor="text1"/>
        </w:rPr>
        <w:t xml:space="preserve">zwiększenie ilości energii elektrycznej wynikające ze zużycia energii elektrycznej wg bieżących odczytów z układu pomiarowo-rozliczeniowego, które będzie różne od ilości energii elektrycznej wskazanego poniżej odbywa się automatycznie,  na podstawie bieżącego zużycia energii elektrycznej na wystawianych fakturach, </w:t>
      </w:r>
    </w:p>
    <w:p w14:paraId="34F5C5A5" w14:textId="77777777" w:rsidR="00203CF7" w:rsidRPr="00203CF7" w:rsidRDefault="00203CF7" w:rsidP="00F26A4E">
      <w:pPr>
        <w:pStyle w:val="Akapitzlist"/>
        <w:widowControl/>
        <w:numPr>
          <w:ilvl w:val="1"/>
          <w:numId w:val="11"/>
        </w:numPr>
        <w:spacing w:before="60" w:after="60"/>
        <w:ind w:left="851"/>
        <w:jc w:val="both"/>
        <w:rPr>
          <w:rFonts w:ascii="Arial Narrow" w:hAnsi="Arial Narrow" w:cs="Open Sans"/>
          <w:color w:val="000000" w:themeColor="text1"/>
        </w:rPr>
      </w:pPr>
      <w:r w:rsidRPr="00203CF7">
        <w:rPr>
          <w:rFonts w:ascii="Arial Narrow" w:hAnsi="Arial Narrow" w:cs="Open Sans"/>
          <w:color w:val="000000" w:themeColor="text1"/>
        </w:rPr>
        <w:t>zwiększenie/zmniejszenie (dodanie/odjęcie) ilości ppe – wymaga złożenia przez Zamawiającego jednostronnego oświadczenia woli. Zmiana ilości ppe wynikać może w szczególności z likwidacji ppe, powstania/nabycia nowego ppe, zmiany właściwości technicznych ppe,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bądź wyłączenia punktu poboru energii elektrycznej przez Zamawiającego.</w:t>
      </w:r>
    </w:p>
    <w:p w14:paraId="53AC19B1" w14:textId="77777777" w:rsidR="00203CF7" w:rsidRPr="00203CF7" w:rsidRDefault="00203CF7" w:rsidP="00F26A4E">
      <w:pPr>
        <w:pStyle w:val="Akapitzlist"/>
        <w:widowControl/>
        <w:numPr>
          <w:ilvl w:val="1"/>
          <w:numId w:val="11"/>
        </w:numPr>
        <w:spacing w:before="60" w:after="60"/>
        <w:ind w:left="851"/>
        <w:jc w:val="both"/>
        <w:rPr>
          <w:rFonts w:ascii="Arial Narrow" w:hAnsi="Arial Narrow" w:cs="Open Sans"/>
          <w:color w:val="000000" w:themeColor="text1"/>
        </w:rPr>
      </w:pPr>
      <w:r w:rsidRPr="00203CF7">
        <w:rPr>
          <w:rFonts w:ascii="Arial Narrow" w:hAnsi="Arial Narrow" w:cs="Open Sans"/>
          <w:color w:val="000000" w:themeColor="text1"/>
        </w:rPr>
        <w:t>Zamawiający ma prawo, w okresie obowiązywania Umowy do zmiany grup taryfowych, mocy umownej dla poszczególnych ppe określonych w załączniku nr 1 do Umowy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p>
    <w:p w14:paraId="0C627179" w14:textId="77777777" w:rsidR="00203CF7" w:rsidRPr="00203CF7" w:rsidRDefault="00203CF7" w:rsidP="00F26A4E">
      <w:pPr>
        <w:pStyle w:val="Akapitzlist"/>
        <w:widowControl/>
        <w:numPr>
          <w:ilvl w:val="1"/>
          <w:numId w:val="2"/>
        </w:numPr>
        <w:spacing w:before="60" w:after="60"/>
        <w:ind w:left="426" w:hanging="426"/>
        <w:jc w:val="both"/>
        <w:rPr>
          <w:rFonts w:ascii="Arial Narrow" w:hAnsi="Arial Narrow" w:cs="Open Sans"/>
          <w:color w:val="000000" w:themeColor="text1"/>
        </w:rPr>
      </w:pPr>
      <w:r w:rsidRPr="00203CF7">
        <w:rPr>
          <w:rFonts w:ascii="Arial Narrow" w:hAnsi="Arial Narrow" w:cs="Open Sans"/>
          <w:color w:val="000000" w:themeColor="text1"/>
        </w:rPr>
        <w:t>Zgodnie z treścią art. 455 ust. 1 pkt 1) ustawy Pzp Zamawiający dopuszcza wprowadzenie zmian postanowień Umowy w stosunku do treści oferty, w zakresie:</w:t>
      </w:r>
    </w:p>
    <w:p w14:paraId="37A7DE16" w14:textId="77777777" w:rsidR="00203CF7" w:rsidRPr="00203CF7" w:rsidRDefault="00203CF7" w:rsidP="00F26A4E">
      <w:pPr>
        <w:pStyle w:val="Akapitzlist"/>
        <w:widowControl/>
        <w:numPr>
          <w:ilvl w:val="1"/>
          <w:numId w:val="3"/>
        </w:numPr>
        <w:spacing w:before="60" w:after="60"/>
        <w:ind w:left="851"/>
        <w:jc w:val="both"/>
        <w:rPr>
          <w:rFonts w:ascii="Arial Narrow" w:hAnsi="Arial Narrow" w:cs="Open Sans"/>
          <w:color w:val="000000" w:themeColor="text1"/>
        </w:rPr>
      </w:pPr>
      <w:r w:rsidRPr="00203CF7">
        <w:rPr>
          <w:rFonts w:ascii="Arial Narrow" w:hAnsi="Arial Narrow" w:cs="Open Sans"/>
          <w:color w:val="000000" w:themeColor="text1"/>
        </w:rPr>
        <w:t>zaistnienia okoliczności (technicznych, gospodarczych, prawnych itp.), których nie można było przewidzieć w chwili zawarcia Umowy - zmiany te mogą spowodować zmianę ilości punktów PPE,  grupy taryfowej lub wartości zawartej Umowy,</w:t>
      </w:r>
    </w:p>
    <w:p w14:paraId="3DFFD57F" w14:textId="77777777" w:rsidR="00203CF7" w:rsidRPr="00203CF7" w:rsidRDefault="00203CF7" w:rsidP="00F26A4E">
      <w:pPr>
        <w:pStyle w:val="Akapitzlist"/>
        <w:widowControl/>
        <w:numPr>
          <w:ilvl w:val="1"/>
          <w:numId w:val="3"/>
        </w:numPr>
        <w:spacing w:before="60" w:after="60"/>
        <w:ind w:left="851"/>
        <w:jc w:val="both"/>
        <w:rPr>
          <w:rFonts w:ascii="Arial Narrow" w:hAnsi="Arial Narrow" w:cs="Open Sans"/>
          <w:color w:val="000000" w:themeColor="text1"/>
        </w:rPr>
      </w:pPr>
      <w:r w:rsidRPr="00203CF7">
        <w:rPr>
          <w:rFonts w:ascii="Arial Narrow" w:hAnsi="Arial Narrow" w:cs="Open Sans"/>
          <w:color w:val="000000" w:themeColor="text1"/>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w:t>
      </w:r>
      <w:r w:rsidRPr="00203CF7">
        <w:rPr>
          <w:rFonts w:ascii="Arial Narrow" w:hAnsi="Arial Narrow" w:cs="Open Sans"/>
          <w:color w:val="000000" w:themeColor="text1"/>
        </w:rPr>
        <w:lastRenderedPageBreak/>
        <w:t>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w:t>
      </w:r>
    </w:p>
    <w:p w14:paraId="1AAE4B5F" w14:textId="77777777" w:rsidR="00203CF7" w:rsidRPr="00203CF7" w:rsidRDefault="00203CF7" w:rsidP="00F26A4E">
      <w:pPr>
        <w:pStyle w:val="Akapitzlist"/>
        <w:widowControl/>
        <w:numPr>
          <w:ilvl w:val="1"/>
          <w:numId w:val="3"/>
        </w:numPr>
        <w:spacing w:before="60" w:after="60"/>
        <w:ind w:left="851"/>
        <w:jc w:val="both"/>
        <w:rPr>
          <w:rFonts w:ascii="Arial Narrow" w:hAnsi="Arial Narrow" w:cs="Open Sans"/>
          <w:color w:val="000000" w:themeColor="text1"/>
        </w:rPr>
      </w:pPr>
      <w:r w:rsidRPr="00203CF7">
        <w:rPr>
          <w:rFonts w:ascii="Arial Narrow" w:hAnsi="Arial Narrow" w:cs="Open Sans"/>
          <w:color w:val="000000" w:themeColor="text1"/>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w:t>
      </w:r>
    </w:p>
    <w:p w14:paraId="2B8E3402" w14:textId="77777777" w:rsidR="00203CF7" w:rsidRPr="00203CF7" w:rsidRDefault="00203CF7" w:rsidP="00F26A4E">
      <w:pPr>
        <w:pStyle w:val="Akapitzlist"/>
        <w:widowControl/>
        <w:numPr>
          <w:ilvl w:val="1"/>
          <w:numId w:val="3"/>
        </w:numPr>
        <w:spacing w:before="60" w:after="60"/>
        <w:ind w:left="851"/>
        <w:jc w:val="both"/>
        <w:rPr>
          <w:rFonts w:ascii="Arial Narrow" w:hAnsi="Arial Narrow" w:cs="Open Sans"/>
          <w:color w:val="000000" w:themeColor="text1"/>
        </w:rPr>
      </w:pPr>
      <w:r w:rsidRPr="00203CF7">
        <w:rPr>
          <w:rFonts w:ascii="Arial Narrow" w:hAnsi="Arial Narrow" w:cs="Open Sans"/>
          <w:color w:val="000000" w:themeColor="text1"/>
        </w:rPr>
        <w:t>zmiany wysokości ceny :</w:t>
      </w:r>
    </w:p>
    <w:p w14:paraId="096E08EC" w14:textId="77777777" w:rsidR="00203CF7" w:rsidRPr="00203CF7" w:rsidRDefault="00203CF7" w:rsidP="00F26A4E">
      <w:pPr>
        <w:pStyle w:val="Akapitzlist"/>
        <w:spacing w:before="60" w:after="60"/>
        <w:ind w:left="980" w:hanging="126"/>
        <w:rPr>
          <w:rFonts w:ascii="Arial Narrow" w:hAnsi="Arial Narrow" w:cs="Open Sans"/>
          <w:color w:val="000000" w:themeColor="text1"/>
        </w:rPr>
      </w:pPr>
      <w:r w:rsidRPr="00203CF7">
        <w:rPr>
          <w:rFonts w:ascii="Arial Narrow" w:hAnsi="Arial Narrow" w:cs="Open Sans"/>
          <w:color w:val="000000" w:themeColor="text1"/>
        </w:rPr>
        <w:t>- W przypadku zmiany Taryfy OSD, w szczególności zmiany stawek taryfowych,</w:t>
      </w:r>
      <w:r w:rsidRPr="00203CF7">
        <w:rPr>
          <w:rFonts w:ascii="Arial Narrow" w:hAnsi="Arial Narrow" w:cs="Open Sans"/>
        </w:rPr>
        <w:t xml:space="preserve"> </w:t>
      </w:r>
      <w:r w:rsidRPr="00203CF7">
        <w:rPr>
          <w:rFonts w:ascii="Arial Narrow" w:hAnsi="Arial Narrow" w:cs="Open Sans"/>
          <w:color w:val="000000" w:themeColor="text1"/>
        </w:rPr>
        <w:t>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w:t>
      </w:r>
    </w:p>
    <w:p w14:paraId="5D58F131" w14:textId="77777777" w:rsidR="00203CF7" w:rsidRPr="00203CF7" w:rsidRDefault="00203CF7" w:rsidP="00F26A4E">
      <w:pPr>
        <w:pStyle w:val="Akapitzlist"/>
        <w:spacing w:before="60" w:after="60"/>
        <w:ind w:left="980" w:hanging="126"/>
        <w:rPr>
          <w:rFonts w:ascii="Arial Narrow" w:hAnsi="Arial Narrow" w:cs="Open Sans"/>
          <w:color w:val="000000" w:themeColor="text1"/>
        </w:rPr>
      </w:pPr>
      <w:r w:rsidRPr="00203CF7">
        <w:rPr>
          <w:rFonts w:ascii="Arial Narrow" w:hAnsi="Arial Narrow" w:cs="Open Sans"/>
          <w:color w:val="000000" w:themeColor="text1"/>
        </w:rPr>
        <w:t>- 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nabytej energii elektrycznej, z którego będzie wynikał zakres wprowadzanych zmian w zakresie płatności akcyzowych.</w:t>
      </w:r>
    </w:p>
    <w:p w14:paraId="3829CC21" w14:textId="77777777" w:rsidR="00203CF7" w:rsidRPr="00203CF7" w:rsidRDefault="00203CF7" w:rsidP="00F26A4E">
      <w:pPr>
        <w:spacing w:before="60" w:after="60"/>
        <w:ind w:left="980" w:hanging="126"/>
        <w:rPr>
          <w:rFonts w:ascii="Arial Narrow" w:hAnsi="Arial Narrow" w:cs="Open Sans"/>
          <w:color w:val="000000" w:themeColor="text1"/>
        </w:rPr>
      </w:pPr>
      <w:r w:rsidRPr="00203CF7">
        <w:rPr>
          <w:rFonts w:ascii="Arial Narrow" w:hAnsi="Arial Narrow" w:cs="Open Sans"/>
          <w:color w:val="000000" w:themeColor="text1"/>
        </w:rPr>
        <w:t>- W przypadku zmiany przepisów podatkowych w zakresie zmiany stawki podatku VAT Wykonawca będzie prowadził rozliczenia na podstawie nowych stawek podatku VAT począwszy od dnia wejścia przedmiotowych zmian w życie. Wykonawca jest zobowiązany do poinformowania Zamawiającego</w:t>
      </w:r>
    </w:p>
    <w:p w14:paraId="3688D3F9" w14:textId="77777777" w:rsidR="00203CF7" w:rsidRPr="00203CF7" w:rsidRDefault="00203CF7" w:rsidP="00F26A4E">
      <w:pPr>
        <w:spacing w:before="60" w:after="60"/>
        <w:ind w:left="980" w:hanging="126"/>
        <w:rPr>
          <w:rFonts w:ascii="Arial Narrow" w:hAnsi="Arial Narrow" w:cs="Open Sans"/>
          <w:color w:val="000000" w:themeColor="text1"/>
        </w:rPr>
      </w:pPr>
      <w:r w:rsidRPr="00203CF7">
        <w:rPr>
          <w:rFonts w:ascii="Arial Narrow" w:hAnsi="Arial Narrow" w:cs="Open Sans"/>
          <w:color w:val="000000" w:themeColor="text1"/>
        </w:rPr>
        <w:t>- W przypadku zaistnienia zmian w prawie skutkujących nałożeniem na Wykonawcę dodatkowych obciążeń (np. zmian w systemie certyfikatów), Wykonawca zwróci się do Zamawiającego z informacją o wprowadzonych zmianach prawnych określając jednocześnie wpływ tych zmian na zmianę ceny jednostkowej energii elektrycznej. Wprowadzenie do rozliczeń zmienionej jednostkowej ceny energii elektrycznej jest możliwe po zawarciu stosownego aneksu</w:t>
      </w:r>
    </w:p>
    <w:p w14:paraId="3A38C3F6" w14:textId="77777777" w:rsidR="00203CF7" w:rsidRPr="00203CF7" w:rsidRDefault="00203CF7" w:rsidP="00F26A4E">
      <w:pPr>
        <w:pStyle w:val="Akapitzlist"/>
        <w:widowControl/>
        <w:numPr>
          <w:ilvl w:val="1"/>
          <w:numId w:val="2"/>
        </w:numPr>
        <w:spacing w:before="60" w:after="60"/>
        <w:ind w:left="426" w:hanging="426"/>
        <w:jc w:val="both"/>
        <w:rPr>
          <w:rFonts w:ascii="Arial Narrow" w:hAnsi="Arial Narrow" w:cs="Open Sans"/>
          <w:color w:val="000000" w:themeColor="text1"/>
        </w:rPr>
      </w:pPr>
      <w:r w:rsidRPr="00203CF7">
        <w:rPr>
          <w:rFonts w:ascii="Arial Narrow" w:hAnsi="Arial Narrow" w:cs="Open Sans"/>
          <w:color w:val="000000" w:themeColor="text1"/>
        </w:rPr>
        <w:t>Ponadto zgodnie z treścią art. 455 ust. 1 pkt 1) ustawy Pzp Zamawiający przewiduje możliwość wprowadzenia zmian postanowień zawartej umowy w stosunku do treści przedłożonej w postępowaniu oferty, na podstawie której dokonano wyboru Wykonawcy, w następujących przypadkach:</w:t>
      </w:r>
    </w:p>
    <w:p w14:paraId="2EC2794D" w14:textId="77777777" w:rsidR="00203CF7" w:rsidRPr="00203CF7" w:rsidRDefault="00203CF7" w:rsidP="00F26A4E">
      <w:pPr>
        <w:pStyle w:val="Akapitzlist"/>
        <w:widowControl/>
        <w:numPr>
          <w:ilvl w:val="0"/>
          <w:numId w:val="1"/>
        </w:numPr>
        <w:spacing w:before="60" w:after="60"/>
        <w:jc w:val="both"/>
        <w:rPr>
          <w:rFonts w:ascii="Arial Narrow" w:hAnsi="Arial Narrow" w:cs="Open Sans"/>
          <w:color w:val="000000" w:themeColor="text1"/>
        </w:rPr>
      </w:pPr>
      <w:r w:rsidRPr="00203CF7">
        <w:rPr>
          <w:rFonts w:ascii="Arial Narrow" w:hAnsi="Arial Narrow" w:cs="Open Sans"/>
          <w:color w:val="000000" w:themeColor="text1"/>
        </w:rPr>
        <w:t>jeżeli w wyniku prowadzenia procedury zmiany sprzedawcy, nie będzie możliwe dochowanie terminu rozpoczęcia dostaw określonych w przedłożonej ofercie, rozpoczęcie dostaw energii elektrycznej rozpocznie się po pozytywnie zakończonej procedurze zmiany sprzedawcy.</w:t>
      </w:r>
    </w:p>
    <w:p w14:paraId="75B45D01" w14:textId="77777777" w:rsidR="00203CF7" w:rsidRPr="00203CF7" w:rsidRDefault="00203CF7" w:rsidP="00F26A4E">
      <w:pPr>
        <w:pStyle w:val="Akapitzlist"/>
        <w:widowControl/>
        <w:numPr>
          <w:ilvl w:val="0"/>
          <w:numId w:val="1"/>
        </w:numPr>
        <w:spacing w:before="60" w:after="60"/>
        <w:jc w:val="both"/>
        <w:rPr>
          <w:rFonts w:ascii="Arial Narrow" w:hAnsi="Arial Narrow" w:cs="Open Sans"/>
          <w:color w:val="000000" w:themeColor="text1"/>
        </w:rPr>
      </w:pPr>
      <w:r w:rsidRPr="00203CF7">
        <w:rPr>
          <w:rFonts w:ascii="Arial Narrow" w:hAnsi="Arial Narrow" w:cs="Open Sans"/>
          <w:color w:val="000000" w:themeColor="text1"/>
        </w:rPr>
        <w:t>jeżeli w wyniku zmian organizacyjnych, przekształceń własnościowych, zmiany profili działania jednostki, modernizacji lub remontu, etc. nastąpi zmiana liczby punktów poboru energii elektrycznej, tj. zwiększenie liczby punktów poboru energii elektrycznej lub zmniejszenie liczby punktów poboru. W takim przypadku konieczne jest zawarcie stosownego aneksu do umowy (wprowadzenie nowego ppe, likwidacja ppe).</w:t>
      </w:r>
    </w:p>
    <w:p w14:paraId="2360EDFF" w14:textId="77777777" w:rsidR="00203CF7" w:rsidRPr="00203CF7" w:rsidRDefault="00203CF7" w:rsidP="00F26A4E">
      <w:pPr>
        <w:pStyle w:val="Akapitzlist"/>
        <w:widowControl/>
        <w:numPr>
          <w:ilvl w:val="0"/>
          <w:numId w:val="1"/>
        </w:numPr>
        <w:tabs>
          <w:tab w:val="left" w:pos="4500"/>
        </w:tabs>
        <w:spacing w:before="60" w:after="60"/>
        <w:jc w:val="both"/>
        <w:rPr>
          <w:rFonts w:ascii="Arial Narrow" w:hAnsi="Arial Narrow" w:cs="Open Sans"/>
          <w:color w:val="000000" w:themeColor="text1"/>
        </w:rPr>
      </w:pPr>
      <w:r w:rsidRPr="00203CF7">
        <w:rPr>
          <w:rFonts w:ascii="Arial Narrow" w:hAnsi="Arial Narrow" w:cs="Open Sans"/>
          <w:color w:val="000000" w:themeColor="text1"/>
        </w:rPr>
        <w:t>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IRiESD.</w:t>
      </w:r>
    </w:p>
    <w:p w14:paraId="58970236" w14:textId="77777777" w:rsidR="00203CF7" w:rsidRPr="00203CF7" w:rsidRDefault="00203CF7" w:rsidP="00F26A4E">
      <w:pPr>
        <w:pStyle w:val="Akapitzlist"/>
        <w:widowControl/>
        <w:numPr>
          <w:ilvl w:val="0"/>
          <w:numId w:val="1"/>
        </w:numPr>
        <w:spacing w:before="60" w:after="60"/>
        <w:jc w:val="both"/>
        <w:rPr>
          <w:rFonts w:ascii="Arial Narrow" w:hAnsi="Arial Narrow" w:cs="Open Sans"/>
          <w:color w:val="000000" w:themeColor="text1"/>
        </w:rPr>
      </w:pPr>
      <w:r w:rsidRPr="00203CF7">
        <w:rPr>
          <w:rFonts w:ascii="Arial Narrow" w:hAnsi="Arial Narrow" w:cs="Open Sans"/>
          <w:color w:val="000000" w:themeColor="text1"/>
        </w:rPr>
        <w:t>jeżeli zgodnie z zasadami określonymi w Taryfie OSD dokonana zostanie zmiana grupy taryfowej dla ppe Wykonawca rozpocznie prowadzenie rozliczeń dla tego ppe zgodnie ze stawkami odpowiednimi dla zmienionej grupy taryfowej, również w zakresie jednostkowych cen za energię elektryczną  określoną w ofercie oraz stawek opłat abonamentowych.</w:t>
      </w:r>
    </w:p>
    <w:p w14:paraId="343CC2C3" w14:textId="77777777" w:rsidR="00203CF7" w:rsidRPr="00203CF7" w:rsidRDefault="00203CF7" w:rsidP="00F26A4E">
      <w:pPr>
        <w:pStyle w:val="Akapitzlist"/>
        <w:widowControl/>
        <w:numPr>
          <w:ilvl w:val="1"/>
          <w:numId w:val="2"/>
        </w:numPr>
        <w:spacing w:before="60" w:after="60"/>
        <w:ind w:left="284" w:hanging="284"/>
        <w:jc w:val="both"/>
        <w:rPr>
          <w:rFonts w:ascii="Arial Narrow" w:hAnsi="Arial Narrow" w:cs="Open Sans"/>
          <w:color w:val="000000" w:themeColor="text1"/>
        </w:rPr>
      </w:pPr>
      <w:r w:rsidRPr="00203CF7">
        <w:rPr>
          <w:rFonts w:ascii="Arial Narrow" w:hAnsi="Arial Narrow" w:cs="Open Sans"/>
          <w:color w:val="000000" w:themeColor="text1"/>
        </w:rPr>
        <w:t>Strony dopuszczają również wprowadzenie zmian w zwartej umowie w przypadku:</w:t>
      </w:r>
    </w:p>
    <w:p w14:paraId="1A0870F5" w14:textId="77777777" w:rsidR="00203CF7" w:rsidRPr="00203CF7" w:rsidRDefault="00203CF7" w:rsidP="00F26A4E">
      <w:pPr>
        <w:pStyle w:val="Akapitzlist"/>
        <w:widowControl/>
        <w:numPr>
          <w:ilvl w:val="0"/>
          <w:numId w:val="4"/>
        </w:numPr>
        <w:tabs>
          <w:tab w:val="left" w:pos="284"/>
        </w:tabs>
        <w:overflowPunct w:val="0"/>
        <w:autoSpaceDE w:val="0"/>
        <w:autoSpaceDN w:val="0"/>
        <w:adjustRightInd w:val="0"/>
        <w:spacing w:before="60" w:after="60"/>
        <w:ind w:left="1134"/>
        <w:jc w:val="both"/>
        <w:textAlignment w:val="baseline"/>
        <w:rPr>
          <w:rFonts w:ascii="Arial Narrow" w:hAnsi="Arial Narrow" w:cs="Open Sans"/>
          <w:color w:val="000000" w:themeColor="text1"/>
        </w:rPr>
      </w:pPr>
      <w:r w:rsidRPr="00203CF7">
        <w:rPr>
          <w:rFonts w:ascii="Arial Narrow" w:hAnsi="Arial Narrow" w:cs="Open Sans"/>
          <w:color w:val="000000" w:themeColor="text1"/>
        </w:rPr>
        <w:t>Konieczności poprawienia oczywistej omyłki pisarskiej;</w:t>
      </w:r>
    </w:p>
    <w:p w14:paraId="50E230BC" w14:textId="77777777" w:rsidR="00203CF7" w:rsidRPr="00203CF7" w:rsidRDefault="00203CF7" w:rsidP="00F26A4E">
      <w:pPr>
        <w:pStyle w:val="Akapitzlist"/>
        <w:widowControl/>
        <w:numPr>
          <w:ilvl w:val="0"/>
          <w:numId w:val="4"/>
        </w:numPr>
        <w:tabs>
          <w:tab w:val="left" w:pos="284"/>
        </w:tabs>
        <w:overflowPunct w:val="0"/>
        <w:autoSpaceDE w:val="0"/>
        <w:autoSpaceDN w:val="0"/>
        <w:adjustRightInd w:val="0"/>
        <w:spacing w:before="60" w:after="60"/>
        <w:ind w:left="1134"/>
        <w:jc w:val="both"/>
        <w:textAlignment w:val="baseline"/>
        <w:rPr>
          <w:rFonts w:ascii="Arial Narrow" w:hAnsi="Arial Narrow" w:cs="Open Sans"/>
          <w:color w:val="000000" w:themeColor="text1"/>
        </w:rPr>
      </w:pPr>
      <w:r w:rsidRPr="00203CF7">
        <w:rPr>
          <w:rFonts w:ascii="Arial Narrow" w:hAnsi="Arial Narrow" w:cs="Open Sans"/>
          <w:color w:val="000000" w:themeColor="text1"/>
        </w:rPr>
        <w:t>Zmiany osób wskazanych do kontaktu;</w:t>
      </w:r>
    </w:p>
    <w:p w14:paraId="10746BF3" w14:textId="77777777" w:rsidR="00203CF7" w:rsidRPr="00203CF7" w:rsidRDefault="00203CF7" w:rsidP="00F26A4E">
      <w:pPr>
        <w:pStyle w:val="Akapitzlist"/>
        <w:widowControl/>
        <w:numPr>
          <w:ilvl w:val="0"/>
          <w:numId w:val="4"/>
        </w:numPr>
        <w:tabs>
          <w:tab w:val="left" w:pos="284"/>
        </w:tabs>
        <w:overflowPunct w:val="0"/>
        <w:autoSpaceDE w:val="0"/>
        <w:autoSpaceDN w:val="0"/>
        <w:adjustRightInd w:val="0"/>
        <w:spacing w:before="60" w:after="60"/>
        <w:ind w:left="1134"/>
        <w:jc w:val="both"/>
        <w:textAlignment w:val="baseline"/>
        <w:rPr>
          <w:rFonts w:ascii="Arial Narrow" w:hAnsi="Arial Narrow" w:cs="Open Sans"/>
          <w:color w:val="000000" w:themeColor="text1"/>
        </w:rPr>
      </w:pPr>
      <w:r w:rsidRPr="00203CF7">
        <w:rPr>
          <w:rFonts w:ascii="Arial Narrow" w:hAnsi="Arial Narrow" w:cs="Open Sans"/>
          <w:color w:val="000000" w:themeColor="text1"/>
        </w:rPr>
        <w:t>Zmiany danych podmiotowych Wykonawcy lub Zamawiającego;</w:t>
      </w:r>
    </w:p>
    <w:p w14:paraId="5D5DFFF9" w14:textId="77777777" w:rsidR="00203CF7" w:rsidRPr="00203CF7" w:rsidRDefault="00203CF7" w:rsidP="00F26A4E">
      <w:pPr>
        <w:pStyle w:val="Akapitzlist"/>
        <w:widowControl/>
        <w:numPr>
          <w:ilvl w:val="0"/>
          <w:numId w:val="4"/>
        </w:numPr>
        <w:tabs>
          <w:tab w:val="left" w:pos="284"/>
        </w:tabs>
        <w:overflowPunct w:val="0"/>
        <w:autoSpaceDE w:val="0"/>
        <w:autoSpaceDN w:val="0"/>
        <w:adjustRightInd w:val="0"/>
        <w:spacing w:before="60" w:after="60"/>
        <w:ind w:left="1134"/>
        <w:jc w:val="both"/>
        <w:textAlignment w:val="baseline"/>
        <w:rPr>
          <w:rFonts w:ascii="Arial Narrow" w:hAnsi="Arial Narrow" w:cs="Open Sans"/>
          <w:color w:val="000000" w:themeColor="text1"/>
        </w:rPr>
      </w:pPr>
      <w:r w:rsidRPr="00203CF7">
        <w:rPr>
          <w:rFonts w:ascii="Arial Narrow" w:hAnsi="Arial Narrow" w:cs="Open Sans"/>
          <w:color w:val="000000" w:themeColor="text1"/>
        </w:rPr>
        <w:t xml:space="preserve">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 zaistnienia niemożliwej do przewidzenia w momencie zawarcia umowy okoliczności prawnej, ekonomicznej lub </w:t>
      </w:r>
      <w:r w:rsidRPr="00203CF7">
        <w:rPr>
          <w:rFonts w:ascii="Arial Narrow" w:hAnsi="Arial Narrow" w:cs="Open Sans"/>
          <w:color w:val="000000" w:themeColor="text1"/>
        </w:rPr>
        <w:lastRenderedPageBreak/>
        <w:t>technicznej, za którą żadna ze stron nie ponosi odpowiedzialności, skutkującej brakiem możliwości należytego wykonania umowy;</w:t>
      </w:r>
    </w:p>
    <w:p w14:paraId="7A31E439" w14:textId="77777777" w:rsidR="00203CF7" w:rsidRPr="00203CF7" w:rsidRDefault="00203CF7" w:rsidP="00F26A4E">
      <w:pPr>
        <w:pStyle w:val="Akapitzlist"/>
        <w:widowControl/>
        <w:numPr>
          <w:ilvl w:val="0"/>
          <w:numId w:val="4"/>
        </w:numPr>
        <w:tabs>
          <w:tab w:val="left" w:pos="284"/>
        </w:tabs>
        <w:overflowPunct w:val="0"/>
        <w:autoSpaceDE w:val="0"/>
        <w:autoSpaceDN w:val="0"/>
        <w:adjustRightInd w:val="0"/>
        <w:spacing w:before="60" w:after="60"/>
        <w:ind w:left="1134"/>
        <w:jc w:val="both"/>
        <w:textAlignment w:val="baseline"/>
        <w:rPr>
          <w:rFonts w:ascii="Arial Narrow" w:hAnsi="Arial Narrow" w:cs="Open Sans"/>
          <w:color w:val="000000" w:themeColor="text1"/>
        </w:rPr>
      </w:pPr>
      <w:r w:rsidRPr="00203CF7">
        <w:rPr>
          <w:rFonts w:ascii="Arial Narrow" w:hAnsi="Arial Narrow" w:cs="Open Sans"/>
          <w:color w:val="000000" w:themeColor="text1"/>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670D46B5" w14:textId="77777777" w:rsidR="00203CF7" w:rsidRPr="00203CF7" w:rsidRDefault="00203CF7" w:rsidP="00F26A4E">
      <w:pPr>
        <w:pStyle w:val="Akapitzlist"/>
        <w:tabs>
          <w:tab w:val="left" w:pos="284"/>
        </w:tabs>
        <w:overflowPunct w:val="0"/>
        <w:autoSpaceDE w:val="0"/>
        <w:autoSpaceDN w:val="0"/>
        <w:adjustRightInd w:val="0"/>
        <w:spacing w:before="60" w:after="60"/>
        <w:ind w:left="1134"/>
        <w:textAlignment w:val="baseline"/>
        <w:rPr>
          <w:rFonts w:ascii="Arial Narrow" w:hAnsi="Arial Narrow" w:cs="Open Sans"/>
          <w:color w:val="000000" w:themeColor="text1"/>
        </w:rPr>
      </w:pPr>
    </w:p>
    <w:p w14:paraId="035E6C18" w14:textId="77777777" w:rsidR="00203CF7" w:rsidRPr="00203CF7" w:rsidRDefault="00203CF7" w:rsidP="00F26A4E">
      <w:pPr>
        <w:pStyle w:val="Akapitzlist"/>
        <w:widowControl/>
        <w:numPr>
          <w:ilvl w:val="1"/>
          <w:numId w:val="2"/>
        </w:numPr>
        <w:spacing w:before="60" w:after="60"/>
        <w:ind w:left="426"/>
        <w:jc w:val="both"/>
        <w:rPr>
          <w:rFonts w:ascii="Arial Narrow" w:hAnsi="Arial Narrow" w:cs="Open Sans"/>
          <w:color w:val="000000" w:themeColor="text1"/>
        </w:rPr>
      </w:pPr>
      <w:r w:rsidRPr="00203CF7">
        <w:rPr>
          <w:rFonts w:ascii="Arial Narrow" w:hAnsi="Arial Narrow" w:cs="Open Sans"/>
          <w:color w:val="000000" w:themeColor="text1"/>
        </w:rPr>
        <w:t>Zmiana postanowień Umowy może nastąpić tylko za zgodą obu jej Stron wyrażoną na piśmie, pod rygorem nieważności takiej zmiany za wyjątkiem zmian wskazanych w ust. 3 lit d tiret pierwszy do trzecie, które to zmiany następują automatycznie z dniem wejścia w życie zmienionych przepisów.</w:t>
      </w:r>
    </w:p>
    <w:p w14:paraId="58657C21" w14:textId="77777777" w:rsidR="00203CF7" w:rsidRPr="00203CF7" w:rsidRDefault="00203CF7" w:rsidP="00F26A4E">
      <w:pPr>
        <w:spacing w:before="60" w:after="60"/>
        <w:jc w:val="center"/>
        <w:rPr>
          <w:rFonts w:ascii="Arial Narrow" w:hAnsi="Arial Narrow" w:cs="Open Sans"/>
          <w:b/>
          <w:color w:val="000000" w:themeColor="text1"/>
        </w:rPr>
      </w:pPr>
    </w:p>
    <w:p w14:paraId="4857ECA8" w14:textId="77777777" w:rsidR="00203CF7" w:rsidRPr="00203CF7" w:rsidRDefault="00203CF7" w:rsidP="00F26A4E">
      <w:pPr>
        <w:suppressAutoHyphens/>
        <w:rPr>
          <w:rFonts w:ascii="Arial Narrow" w:hAnsi="Arial Narrow" w:cs="Open Sans"/>
          <w:color w:val="000000" w:themeColor="text1"/>
        </w:rPr>
      </w:pPr>
      <w:r w:rsidRPr="00203CF7">
        <w:rPr>
          <w:rFonts w:ascii="Arial Narrow" w:hAnsi="Arial Narrow" w:cs="Open Sans"/>
          <w:color w:val="000000" w:themeColor="text1"/>
        </w:rPr>
        <w:t>W przypadku powstania sporu w trakcie wykonywania umowy strony będą dążyły do jego polubownego załatwienia a w przypadku braku porozumienia na drodze sądowej przez sąd powszechny, właściwy miejscowo dla siedziby Zamawiającego.</w:t>
      </w:r>
    </w:p>
    <w:p w14:paraId="701ECDBB" w14:textId="77777777" w:rsidR="00203CF7" w:rsidRPr="00203CF7" w:rsidRDefault="00203CF7" w:rsidP="00F26A4E">
      <w:pPr>
        <w:ind w:right="-108"/>
        <w:jc w:val="center"/>
        <w:rPr>
          <w:rFonts w:ascii="Arial Narrow" w:hAnsi="Arial Narrow" w:cs="Open Sans"/>
          <w:color w:val="000000" w:themeColor="text1"/>
        </w:rPr>
      </w:pPr>
    </w:p>
    <w:p w14:paraId="4E6DB2FB" w14:textId="77777777" w:rsidR="00F343CA" w:rsidRPr="00203CF7" w:rsidRDefault="00F343CA" w:rsidP="00F26A4E">
      <w:pPr>
        <w:rPr>
          <w:rFonts w:ascii="Arial Narrow" w:hAnsi="Arial Narrow"/>
        </w:rPr>
      </w:pPr>
    </w:p>
    <w:sectPr w:rsidR="00F343CA" w:rsidRPr="00203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7AA7"/>
    <w:multiLevelType w:val="hybridMultilevel"/>
    <w:tmpl w:val="3D32F7C4"/>
    <w:lvl w:ilvl="0" w:tplc="76643E48">
      <w:start w:val="1"/>
      <w:numFmt w:val="bullet"/>
      <w:lvlText w:val=""/>
      <w:lvlJc w:val="left"/>
      <w:pPr>
        <w:ind w:left="720" w:hanging="360"/>
      </w:pPr>
      <w:rPr>
        <w:rFonts w:ascii="Symbol" w:hAnsi="Symbol" w:hint="default"/>
      </w:rPr>
    </w:lvl>
    <w:lvl w:ilvl="1" w:tplc="D06E94BE" w:tentative="1">
      <w:start w:val="1"/>
      <w:numFmt w:val="bullet"/>
      <w:lvlText w:val="o"/>
      <w:lvlJc w:val="left"/>
      <w:pPr>
        <w:ind w:left="1440" w:hanging="360"/>
      </w:pPr>
      <w:rPr>
        <w:rFonts w:ascii="Courier New" w:hAnsi="Courier New" w:cs="Courier New" w:hint="default"/>
      </w:rPr>
    </w:lvl>
    <w:lvl w:ilvl="2" w:tplc="AED6BC12" w:tentative="1">
      <w:start w:val="1"/>
      <w:numFmt w:val="bullet"/>
      <w:lvlText w:val=""/>
      <w:lvlJc w:val="left"/>
      <w:pPr>
        <w:ind w:left="2160" w:hanging="360"/>
      </w:pPr>
      <w:rPr>
        <w:rFonts w:ascii="Wingdings" w:hAnsi="Wingdings" w:hint="default"/>
      </w:rPr>
    </w:lvl>
    <w:lvl w:ilvl="3" w:tplc="72745BF8" w:tentative="1">
      <w:start w:val="1"/>
      <w:numFmt w:val="bullet"/>
      <w:lvlText w:val=""/>
      <w:lvlJc w:val="left"/>
      <w:pPr>
        <w:ind w:left="2880" w:hanging="360"/>
      </w:pPr>
      <w:rPr>
        <w:rFonts w:ascii="Symbol" w:hAnsi="Symbol" w:hint="default"/>
      </w:rPr>
    </w:lvl>
    <w:lvl w:ilvl="4" w:tplc="A0A2D23A" w:tentative="1">
      <w:start w:val="1"/>
      <w:numFmt w:val="bullet"/>
      <w:lvlText w:val="o"/>
      <w:lvlJc w:val="left"/>
      <w:pPr>
        <w:ind w:left="3600" w:hanging="360"/>
      </w:pPr>
      <w:rPr>
        <w:rFonts w:ascii="Courier New" w:hAnsi="Courier New" w:cs="Courier New" w:hint="default"/>
      </w:rPr>
    </w:lvl>
    <w:lvl w:ilvl="5" w:tplc="8C8A0C98" w:tentative="1">
      <w:start w:val="1"/>
      <w:numFmt w:val="bullet"/>
      <w:lvlText w:val=""/>
      <w:lvlJc w:val="left"/>
      <w:pPr>
        <w:ind w:left="4320" w:hanging="360"/>
      </w:pPr>
      <w:rPr>
        <w:rFonts w:ascii="Wingdings" w:hAnsi="Wingdings" w:hint="default"/>
      </w:rPr>
    </w:lvl>
    <w:lvl w:ilvl="6" w:tplc="A6685374" w:tentative="1">
      <w:start w:val="1"/>
      <w:numFmt w:val="bullet"/>
      <w:lvlText w:val=""/>
      <w:lvlJc w:val="left"/>
      <w:pPr>
        <w:ind w:left="5040" w:hanging="360"/>
      </w:pPr>
      <w:rPr>
        <w:rFonts w:ascii="Symbol" w:hAnsi="Symbol" w:hint="default"/>
      </w:rPr>
    </w:lvl>
    <w:lvl w:ilvl="7" w:tplc="22BC0A48" w:tentative="1">
      <w:start w:val="1"/>
      <w:numFmt w:val="bullet"/>
      <w:lvlText w:val="o"/>
      <w:lvlJc w:val="left"/>
      <w:pPr>
        <w:ind w:left="5760" w:hanging="360"/>
      </w:pPr>
      <w:rPr>
        <w:rFonts w:ascii="Courier New" w:hAnsi="Courier New" w:cs="Courier New" w:hint="default"/>
      </w:rPr>
    </w:lvl>
    <w:lvl w:ilvl="8" w:tplc="C3A8B9CC" w:tentative="1">
      <w:start w:val="1"/>
      <w:numFmt w:val="bullet"/>
      <w:lvlText w:val=""/>
      <w:lvlJc w:val="left"/>
      <w:pPr>
        <w:ind w:left="6480" w:hanging="360"/>
      </w:pPr>
      <w:rPr>
        <w:rFonts w:ascii="Wingdings" w:hAnsi="Wingdings" w:hint="default"/>
      </w:rPr>
    </w:lvl>
  </w:abstractNum>
  <w:abstractNum w:abstractNumId="1" w15:restartNumberingAfterBreak="0">
    <w:nsid w:val="050657AF"/>
    <w:multiLevelType w:val="hybridMultilevel"/>
    <w:tmpl w:val="46A0E5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386184"/>
    <w:multiLevelType w:val="hybridMultilevel"/>
    <w:tmpl w:val="7EF2AB90"/>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3A2D0C"/>
    <w:multiLevelType w:val="hybridMultilevel"/>
    <w:tmpl w:val="3BD487AA"/>
    <w:lvl w:ilvl="0" w:tplc="0415000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BF249B2"/>
    <w:multiLevelType w:val="hybridMultilevel"/>
    <w:tmpl w:val="FB1AB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590953"/>
    <w:multiLevelType w:val="multilevel"/>
    <w:tmpl w:val="AC8E44EA"/>
    <w:lvl w:ilvl="0">
      <w:start w:val="1"/>
      <w:numFmt w:val="decimal"/>
      <w:lvlText w:val="%1."/>
      <w:lvlJc w:val="left"/>
      <w:pPr>
        <w:ind w:left="0" w:firstLine="0"/>
      </w:pPr>
      <w:rPr>
        <w:rFonts w:ascii="Verdana" w:eastAsia="Arial Narrow" w:hAnsi="Verdana" w:cs="Arial Narrow" w:hint="default"/>
        <w:b w:val="0"/>
        <w:bCs w:val="0"/>
        <w:i w:val="0"/>
        <w:iCs w:val="0"/>
        <w:smallCaps w:val="0"/>
        <w:strike w:val="0"/>
        <w:dstrike w:val="0"/>
        <w:color w:val="000000"/>
        <w:spacing w:val="0"/>
        <w:w w:val="100"/>
        <w:position w:val="0"/>
        <w:sz w:val="20"/>
        <w:szCs w:val="20"/>
        <w:u w:val="none"/>
        <w:effect w:val="none"/>
        <w:lang w:val="pl-PL"/>
      </w:rPr>
    </w:lvl>
    <w:lvl w:ilvl="1">
      <w:start w:val="1"/>
      <w:numFmt w:val="lowerLetter"/>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6F57213B"/>
    <w:multiLevelType w:val="hybridMultilevel"/>
    <w:tmpl w:val="23141D68"/>
    <w:lvl w:ilvl="0" w:tplc="0415000F">
      <w:start w:val="1"/>
      <w:numFmt w:val="bullet"/>
      <w:lvlText w:val=""/>
      <w:lvlJc w:val="left"/>
      <w:pPr>
        <w:ind w:left="720" w:hanging="360"/>
      </w:pPr>
      <w:rPr>
        <w:rFonts w:ascii="Symbol" w:hAnsi="Symbol" w:hint="default"/>
      </w:rPr>
    </w:lvl>
    <w:lvl w:ilvl="1" w:tplc="04150011" w:tentative="1">
      <w:start w:val="1"/>
      <w:numFmt w:val="bullet"/>
      <w:lvlText w:val="o"/>
      <w:lvlJc w:val="left"/>
      <w:pPr>
        <w:ind w:left="1440" w:hanging="360"/>
      </w:pPr>
      <w:rPr>
        <w:rFonts w:ascii="Courier New" w:hAnsi="Courier New" w:cs="Courier New" w:hint="default"/>
      </w:rPr>
    </w:lvl>
    <w:lvl w:ilvl="2" w:tplc="04150017" w:tentative="1">
      <w:start w:val="1"/>
      <w:numFmt w:val="bullet"/>
      <w:lvlText w:val=""/>
      <w:lvlJc w:val="left"/>
      <w:pPr>
        <w:ind w:left="2160" w:hanging="360"/>
      </w:pPr>
      <w:rPr>
        <w:rFonts w:ascii="Wingdings" w:hAnsi="Wingdings" w:hint="default"/>
      </w:rPr>
    </w:lvl>
    <w:lvl w:ilvl="3" w:tplc="04150011"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EB005E"/>
    <w:multiLevelType w:val="multilevel"/>
    <w:tmpl w:val="D8802752"/>
    <w:lvl w:ilvl="0">
      <w:start w:val="1"/>
      <w:numFmt w:val="decimal"/>
      <w:lvlText w:val="%1."/>
      <w:lvlJc w:val="left"/>
      <w:pPr>
        <w:ind w:left="0" w:firstLine="0"/>
      </w:pPr>
      <w:rPr>
        <w:rFonts w:ascii="Open Sans" w:eastAsia="Arial Narrow" w:hAnsi="Open Sans" w:cs="Open Sans"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843352320">
    <w:abstractNumId w:val="10"/>
  </w:num>
  <w:num w:numId="2" w16cid:durableId="1646740796">
    <w:abstractNumId w:val="7"/>
  </w:num>
  <w:num w:numId="3" w16cid:durableId="1257517852">
    <w:abstractNumId w:val="3"/>
  </w:num>
  <w:num w:numId="4" w16cid:durableId="1972244701">
    <w:abstractNumId w:val="8"/>
  </w:num>
  <w:num w:numId="5" w16cid:durableId="259609110">
    <w:abstractNumId w:val="11"/>
  </w:num>
  <w:num w:numId="6" w16cid:durableId="1814441738">
    <w:abstractNumId w:val="4"/>
  </w:num>
  <w:num w:numId="7" w16cid:durableId="1158812073">
    <w:abstractNumId w:val="5"/>
  </w:num>
  <w:num w:numId="8" w16cid:durableId="641423131">
    <w:abstractNumId w:val="0"/>
  </w:num>
  <w:num w:numId="9" w16cid:durableId="1987784679">
    <w:abstractNumId w:val="9"/>
  </w:num>
  <w:num w:numId="10" w16cid:durableId="1585340873">
    <w:abstractNumId w:val="1"/>
  </w:num>
  <w:num w:numId="11" w16cid:durableId="886457652">
    <w:abstractNumId w:val="2"/>
  </w:num>
  <w:num w:numId="12" w16cid:durableId="534585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69"/>
    <w:rsid w:val="000D2F10"/>
    <w:rsid w:val="00192720"/>
    <w:rsid w:val="00203CF7"/>
    <w:rsid w:val="00327026"/>
    <w:rsid w:val="00340D75"/>
    <w:rsid w:val="00775769"/>
    <w:rsid w:val="00A27E30"/>
    <w:rsid w:val="00F26A4E"/>
    <w:rsid w:val="00F34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FB0A"/>
  <w15:chartTrackingRefBased/>
  <w15:docId w15:val="{858C16D1-D3B3-4966-B9CA-03DBBAC3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203CF7"/>
    <w:pPr>
      <w:widowControl w:val="0"/>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aliases w:val="Znak Znak,Znak, Znak"/>
    <w:basedOn w:val="Normalny"/>
    <w:link w:val="Tekstpodstawowy2Znak"/>
    <w:rsid w:val="00203CF7"/>
    <w:pPr>
      <w:spacing w:after="120"/>
      <w:ind w:left="283"/>
    </w:pPr>
  </w:style>
  <w:style w:type="character" w:customStyle="1" w:styleId="Tekstpodstawowy2Znak">
    <w:name w:val="Tekst podstawowy 2 Znak"/>
    <w:aliases w:val="Znak Znak Znak,Znak Znak1, Znak Znak"/>
    <w:basedOn w:val="Domylnaczcionkaakapitu"/>
    <w:link w:val="Tekstpodstawowy2"/>
    <w:rsid w:val="00203CF7"/>
    <w:rPr>
      <w:rFonts w:ascii="Times New Roman" w:eastAsia="Times New Roman" w:hAnsi="Times New Roman" w:cs="Times New Roman"/>
      <w:kern w:val="0"/>
      <w:sz w:val="20"/>
      <w:szCs w:val="20"/>
      <w:lang w:eastAsia="pl-PL"/>
      <w14:ligatures w14:val="none"/>
    </w:rPr>
  </w:style>
  <w:style w:type="paragraph" w:styleId="Akapitzlist">
    <w:name w:val="List Paragraph"/>
    <w:aliases w:val="L1,Numerowanie,Akapit z listą5,Wypunktowanie,CW_Lista,zwykły tekst,Γράφημα,Akapit z listą BS,Bulleted list,Odstavec,Podsis rysunku,T_SZ_List Paragraph,sw tekst,Akapit z listą numerowaną,lp1,Bullet List,FooterText,numbered,列出段落,列出段落1,ppkt"/>
    <w:basedOn w:val="Normalny"/>
    <w:link w:val="AkapitzlistZnak"/>
    <w:qFormat/>
    <w:rsid w:val="00203CF7"/>
    <w:pPr>
      <w:ind w:left="720"/>
      <w:contextualSpacing/>
    </w:pPr>
  </w:style>
  <w:style w:type="paragraph" w:customStyle="1" w:styleId="Default">
    <w:name w:val="Default"/>
    <w:link w:val="DefaultZnak"/>
    <w:qFormat/>
    <w:rsid w:val="00203CF7"/>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styleId="Odwoaniedokomentarza">
    <w:name w:val="annotation reference"/>
    <w:uiPriority w:val="99"/>
    <w:unhideWhenUsed/>
    <w:rsid w:val="00203CF7"/>
    <w:rPr>
      <w:sz w:val="16"/>
      <w:szCs w:val="16"/>
    </w:rPr>
  </w:style>
  <w:style w:type="paragraph" w:styleId="Tekstkomentarza">
    <w:name w:val="annotation text"/>
    <w:basedOn w:val="Normalny"/>
    <w:link w:val="TekstkomentarzaZnak"/>
    <w:uiPriority w:val="99"/>
    <w:unhideWhenUsed/>
    <w:rsid w:val="00203CF7"/>
  </w:style>
  <w:style w:type="character" w:customStyle="1" w:styleId="TekstkomentarzaZnak">
    <w:name w:val="Tekst komentarza Znak"/>
    <w:basedOn w:val="Domylnaczcionkaakapitu"/>
    <w:link w:val="Tekstkomentarza"/>
    <w:uiPriority w:val="99"/>
    <w:rsid w:val="00203CF7"/>
    <w:rPr>
      <w:rFonts w:ascii="Times New Roman" w:eastAsia="Times New Roman" w:hAnsi="Times New Roman" w:cs="Times New Roman"/>
      <w:kern w:val="0"/>
      <w:sz w:val="20"/>
      <w:szCs w:val="20"/>
      <w:lang w:eastAsia="pl-PL"/>
      <w14:ligatures w14:val="none"/>
    </w:rPr>
  </w:style>
  <w:style w:type="paragraph" w:customStyle="1" w:styleId="pkt">
    <w:name w:val="pkt"/>
    <w:basedOn w:val="Normalny"/>
    <w:rsid w:val="00203CF7"/>
    <w:pPr>
      <w:widowControl/>
      <w:autoSpaceDE w:val="0"/>
      <w:autoSpaceDN w:val="0"/>
      <w:spacing w:before="60" w:after="60"/>
      <w:ind w:left="851" w:hanging="295"/>
      <w:jc w:val="both"/>
    </w:pPr>
    <w:rPr>
      <w:rFonts w:ascii="Tahoma" w:hAnsi="Tahoma"/>
      <w:sz w:val="18"/>
      <w:szCs w:val="19"/>
    </w:rPr>
  </w:style>
  <w:style w:type="character" w:customStyle="1" w:styleId="AkapitzlistZnak">
    <w:name w:val="Akapit z listą Znak"/>
    <w:aliases w:val="L1 Znak,Numerowanie Znak,Akapit z listą5 Znak,Wypunktowanie Znak,CW_Lista Znak,zwykły tekst Znak,Γράφημα Znak,Akapit z listą BS Znak,Bulleted list Znak,Odstavec Znak,Podsis rysunku Znak,T_SZ_List Paragraph Znak,sw tekst Znak,lp1 Znak"/>
    <w:link w:val="Akapitzlist"/>
    <w:qFormat/>
    <w:rsid w:val="00203CF7"/>
    <w:rPr>
      <w:rFonts w:ascii="Times New Roman" w:eastAsia="Times New Roman" w:hAnsi="Times New Roman" w:cs="Times New Roman"/>
      <w:kern w:val="0"/>
      <w:sz w:val="20"/>
      <w:szCs w:val="20"/>
      <w:lang w:eastAsia="pl-PL"/>
      <w14:ligatures w14:val="none"/>
    </w:rPr>
  </w:style>
  <w:style w:type="character" w:customStyle="1" w:styleId="DefaultZnak">
    <w:name w:val="Default Znak"/>
    <w:link w:val="Default"/>
    <w:locked/>
    <w:rsid w:val="00203CF7"/>
    <w:rPr>
      <w:rFonts w:ascii="Times New Roman" w:eastAsia="Times New Roman" w:hAnsi="Times New Roman" w:cs="Times New Roman"/>
      <w:color w:val="000000"/>
      <w:kern w:val="0"/>
      <w:sz w:val="24"/>
      <w:szCs w:val="24"/>
      <w:lang w:eastAsia="pl-PL"/>
      <w14:ligatures w14:val="none"/>
    </w:rPr>
  </w:style>
  <w:style w:type="character" w:customStyle="1" w:styleId="Teksttreci">
    <w:name w:val="Tekst treści"/>
    <w:basedOn w:val="Domylnaczcionkaakapitu"/>
    <w:rsid w:val="00203CF7"/>
    <w:rPr>
      <w:rFonts w:ascii="Times New Roman" w:eastAsia="Times New Roman" w:hAnsi="Times New Roman" w:cs="Times New Roman"/>
      <w:b w:val="0"/>
      <w:bCs w:val="0"/>
      <w:i w:val="0"/>
      <w:iCs w:val="0"/>
      <w:smallCaps w:val="0"/>
      <w:strike w:val="0"/>
      <w:spacing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2807</Words>
  <Characters>16847</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Walski</dc:creator>
  <cp:keywords/>
  <dc:description/>
  <cp:lastModifiedBy>Agnieszka Sawlik</cp:lastModifiedBy>
  <cp:revision>3</cp:revision>
  <dcterms:created xsi:type="dcterms:W3CDTF">2024-08-24T11:15:00Z</dcterms:created>
  <dcterms:modified xsi:type="dcterms:W3CDTF">2024-09-03T09:57:00Z</dcterms:modified>
</cp:coreProperties>
</file>