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28277378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C535AF">
        <w:rPr>
          <w:rFonts w:ascii="Tahoma" w:hAnsi="Tahoma" w:cs="Tahoma"/>
          <w:b/>
          <w:bCs/>
          <w:sz w:val="22"/>
          <w:szCs w:val="22"/>
        </w:rPr>
        <w:t xml:space="preserve"> po zmianie z dnia 08.11.2021 r.</w:t>
      </w:r>
      <w:bookmarkStart w:id="0" w:name="_GoBack"/>
      <w:bookmarkEnd w:id="0"/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6E1C6F71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14:paraId="51119ECC" w14:textId="29EA4709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2023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428839AE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83290E">
        <w:rPr>
          <w:rFonts w:ascii="Tahoma" w:hAnsi="Tahoma" w:cs="Tahoma"/>
        </w:rPr>
        <w:t>14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72706F15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272FE0A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17F6F90B" w14:textId="77777777" w:rsidR="0064457E" w:rsidRDefault="0064457E" w:rsidP="0064457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4457E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78BCE2A0" w:rsidR="00461B31" w:rsidRPr="008003F8" w:rsidRDefault="00461B31" w:rsidP="0064457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 przetargowym.</w:t>
      </w:r>
    </w:p>
    <w:p w14:paraId="7E0B0FF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Przez podwykonawcę lub dalszego podwykonawcę rozumie się każdy podmiot, któremu Wykonawca, podwykonawca lub dalszy podwykonawca powierzył część zamówienia publicznego objętego niniejszą umową, w zakresie usług, robót budowlanych oraz dostaw. Przez umowę o podwykonawstwo rozumie się umowę w formie pisemnej, odpłatną, której przedmiotem są usługi, dostawy lub roboty budowlane stanowiące część zamówienia publicznego, zawartą pomiędzy Wykonawcą a podwykonawcą, a także pomiędzy podwykonawcą oraz dalszym podwykonawcą, jak również pomiędzy dalszymi podwykonawcami.</w:t>
      </w:r>
    </w:p>
    <w:p w14:paraId="096F6D51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Wykonawca zamierzający powierzyć podwykonawcom realizację dostaw, powinien zgłosić Zamawiającemu ten fakt w terminie co najmniej 14 dni przed ich rozpoczęciem przez podwykonawcę. </w:t>
      </w:r>
    </w:p>
    <w:p w14:paraId="12C1768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Podwykonawca, który będzie realizował część zamówienia, z którą wiąże się obowiązek posiadania uprawnień musi takowe posiadać w zakresie uprawniającym do wykonania zamówienia lub oświadczą o ustawowym zwolnieniu z uzyskania w/w zezwolenia.</w:t>
      </w:r>
    </w:p>
    <w:p w14:paraId="22EBB73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zamierzający zawrzeć umowę o podwykonawstwo, której przedmiotem są  dostawy, przed zawarciem umowy o podwykonawstwo jest obowiązany, do przedłożenia Zamawiającemu projektu tej umowy, przy czym podwykonawca lub dalszy podwykonawca jest obowiązany dołączyć zgodę Wykonawcy  na zawarcie umowy o podwykonawstwo o treści zgodnej z projektem umowy. Zgoda Wykonawcy udzielana jest w formie pisemnej pod rygorem nieważności.</w:t>
      </w:r>
    </w:p>
    <w:p w14:paraId="47E05A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Umowa o podwykonawstwo musi zawierać w szczególności postanowienia określające 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</w:t>
      </w:r>
      <w:r w:rsidRPr="008003F8">
        <w:rPr>
          <w:rFonts w:ascii="Tahoma" w:hAnsi="Tahoma" w:cs="Tahoma"/>
        </w:rPr>
        <w:lastRenderedPageBreak/>
        <w:t>podwykonawcy lub dalszemu podwykonawcy dostawy, usługi lub roboty budowlanej. Nadto umowa o podwykonawstwo zawiera postanowienie, iż do dokonywania wszelkich zgłoszeń Zamawiającemu dotyczących podwykonawców lub dalszych podwykonawców podmiotem uprawnionym jest wyłącznie Wykonawca.</w:t>
      </w:r>
    </w:p>
    <w:p w14:paraId="050174F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Jeżeli Zamawiający, w terminie 14 dni od przedłożenia mu projektu umowy o podwykonawstwo, nie zgłosi na piśmie sprzeciwu lub zastrzeżeń, uważa się za akceptację projektu umowy przez Zamawiającego. </w:t>
      </w:r>
    </w:p>
    <w:p w14:paraId="23F0A3C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przedkłada Zamawiającemu poświadczoną za zgodność z oryginałem kopię zawartej umowy o podwykonawstwo, której przedmiotem są  dostawy, w terminie 7 dni od dnia jej zawarcia.</w:t>
      </w:r>
    </w:p>
    <w:p w14:paraId="61C731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Jeżeli Zamawiający, w terminie 14 dni od przedłożenia mu umowy o podwykonawstwo, której przedmiotem są dostawy, nie zgłosi na piśmie sprzeciwu lub zastrzeżeń, uważa się za akceptację umowy przez Zamawiającego.</w:t>
      </w:r>
    </w:p>
    <w:p w14:paraId="31C7B36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gdy termin zapłaty wynagrodzenia podwykonawcy lub dalszemu podwykonawcy przewidziany w umowie o podwykonawstwo, której przedmiotem są dostawy, usługi lub roboty budowlane jest odmienny od postanowień zawartych w ust. 3, Zamawiający informuje o tym Wykonawcę i wzywa go do doprowadzenia do zmiany tej umowy pod rygorem wystąpienia o zapłatę kary umownej.</w:t>
      </w:r>
    </w:p>
    <w:p w14:paraId="553A159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Przepisy ust. 2-7 stosuje się odpowiednio do zmian wprowadzanych w umowach o podwykonawstwo.</w:t>
      </w:r>
    </w:p>
    <w:p w14:paraId="305B0AE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zobowiązany jest do dostarczenia wraz z umową o 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2FBE6A4E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Umowy o podwykonawstwo, o których mowa powyżej, powinny mieć formę pisemną pod rygorem nieważności.</w:t>
      </w:r>
    </w:p>
    <w:p w14:paraId="37010E2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ponosi wobec Zamawiającego pełną odpowiedzialność za  dostawy realizowane przez podwykonawców, jak również za ewentualne szkody powstałe w wyniku ich działań. Wykonawca odpowiada za działania i zaniechania podwykonawców jak za własne działania i zaniechania.</w:t>
      </w:r>
    </w:p>
    <w:p w14:paraId="3E87A8A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roboty budowlane.</w:t>
      </w:r>
    </w:p>
    <w:p w14:paraId="755E165C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 xml:space="preserve">Wynagrodzenie, o którym mowa powyżej, dotyczy wyłącznie należności powstałych po zaakceptowaniu przez zamawiającego umowy o podwykonawstwo, której przedmiotem są dostawy lub usługi. </w:t>
      </w:r>
      <w:r w:rsidRPr="008003F8">
        <w:rPr>
          <w:rFonts w:ascii="Tahoma" w:eastAsia="Calibri" w:hAnsi="Tahoma" w:cs="Tahoma"/>
          <w:lang w:eastAsia="en-US"/>
        </w:rPr>
        <w:lastRenderedPageBreak/>
        <w:t>Bezpośrednia zapłata obejmuje wyłącznie należne wynagrodzenie, bez odsetek, należnych podwykonawcy lub dalszemu podwykonawcy.</w:t>
      </w:r>
    </w:p>
    <w:p w14:paraId="358CC5C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 niż 7 dni od dnia doręczenia tej informacji.</w:t>
      </w:r>
    </w:p>
    <w:p w14:paraId="748B3A2D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zgłoszenia uwag, o których mowa w ust. 14, Zamawiający może:</w:t>
      </w:r>
    </w:p>
    <w:p w14:paraId="1C43D1FA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nie dokonać bezpośredniej zapłaty wynagrodzenia podwykonawcy lub dalszemu podwykonawcy, jeżeli Wykonawca wykaże niezasadność takiej zapłaty,</w:t>
      </w:r>
    </w:p>
    <w:p w14:paraId="70DB2096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14:paraId="217E003F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dokonać bezpośredniej zapłaty wynagrodzenia podwykonawcy lub dalszemu podwykonawcy, jeżeli podwykonawca lub dalszy podwykonawca wykaże zasadność takiej zapłaty.</w:t>
      </w:r>
    </w:p>
    <w:p w14:paraId="79DC3E22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1148A8F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Konieczność wielokrotnego dokonywania bezpośredniej zapłaty podwykonawcy lub dalszemu podwykonawcy,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B870D6F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ma prawo odmówić zgody na zawarcie umowy z danym podwykonawcą lub dalszym podwykonawcy, w szczególności w razie wątpliwości, czy jest on zdolny do prawidłowego wykonania umowy, którą zamierza zawrzeć z nim Wykonawca.</w:t>
      </w:r>
    </w:p>
    <w:p w14:paraId="771B1EE8" w14:textId="285CFA7D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zastąpienia biorących udział w realizacji części zamówienia podmiotów trzecich, o których mowa w art. </w:t>
      </w:r>
      <w:r w:rsidR="007C34B4">
        <w:rPr>
          <w:rFonts w:ascii="Tahoma" w:hAnsi="Tahoma" w:cs="Tahoma"/>
        </w:rPr>
        <w:t>462 ust. 7</w:t>
      </w:r>
      <w:r w:rsidRPr="008003F8">
        <w:rPr>
          <w:rFonts w:ascii="Tahoma" w:hAnsi="Tahoma" w:cs="Tahoma"/>
        </w:rPr>
        <w:t xml:space="preserve"> Ustawy </w:t>
      </w:r>
      <w:proofErr w:type="spellStart"/>
      <w:r w:rsidRPr="008003F8">
        <w:rPr>
          <w:rFonts w:ascii="Tahoma" w:hAnsi="Tahoma" w:cs="Tahoma"/>
        </w:rPr>
        <w:t>Pzp</w:t>
      </w:r>
      <w:proofErr w:type="spellEnd"/>
      <w:r w:rsidRPr="008003F8">
        <w:rPr>
          <w:rFonts w:ascii="Tahoma" w:hAnsi="Tahoma" w:cs="Tahoma"/>
        </w:rPr>
        <w:t>, za pomocą których Wykonawca wykazał spełnianie warunków udziału w 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667DA45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przypadku, gdy Wykonawca zrealizuje przedmiot umowy bez udziału podwykonawców ust. 1 – 19 nie stosuje się.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57349B"/>
    <w:rsid w:val="00592E17"/>
    <w:rsid w:val="0064457E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A07574"/>
    <w:rsid w:val="00AD121E"/>
    <w:rsid w:val="00B831C3"/>
    <w:rsid w:val="00B91F02"/>
    <w:rsid w:val="00C535AF"/>
    <w:rsid w:val="00D66240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6</cp:revision>
  <cp:lastPrinted>2021-11-08T11:31:00Z</cp:lastPrinted>
  <dcterms:created xsi:type="dcterms:W3CDTF">2021-11-08T09:11:00Z</dcterms:created>
  <dcterms:modified xsi:type="dcterms:W3CDTF">2021-11-08T11:33:00Z</dcterms:modified>
</cp:coreProperties>
</file>