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2F84D" w14:textId="4A014A29" w:rsidR="009F3F96" w:rsidRDefault="00927971" w:rsidP="009F3F96">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14:ligatures w14:val="none"/>
        </w:rPr>
        <w:tab/>
      </w:r>
      <w:r w:rsidR="009F3F96">
        <w:rPr>
          <w:rFonts w:ascii="Calibri" w:eastAsia="Calibri" w:hAnsi="Calibri" w:cs="Times New Roman"/>
          <w:kern w:val="0"/>
          <w:sz w:val="16"/>
          <w:szCs w:val="16"/>
          <w14:ligatures w14:val="none"/>
        </w:rPr>
        <w:t>Zał. nr 3 do OPZ – Warunki techniczne do projektowania</w:t>
      </w:r>
    </w:p>
    <w:p w14:paraId="5F33A5A8" w14:textId="373C7B5D" w:rsidR="00927971" w:rsidRPr="00927971" w:rsidRDefault="00927971" w:rsidP="00927971">
      <w:pPr>
        <w:rPr>
          <w:rFonts w:ascii="Calibri" w:eastAsia="Calibri" w:hAnsi="Calibri" w:cs="Times New Roman"/>
          <w:kern w:val="0"/>
          <w14:ligatures w14:val="none"/>
        </w:rPr>
      </w:pPr>
    </w:p>
    <w:p w14:paraId="1879751A" w14:textId="77777777" w:rsidR="00927971" w:rsidRPr="00927971" w:rsidRDefault="00927971" w:rsidP="00927971">
      <w:pPr>
        <w:spacing w:after="0" w:line="288" w:lineRule="auto"/>
        <w:rPr>
          <w:rFonts w:ascii="Calibri" w:eastAsia="Calibri" w:hAnsi="Calibri" w:cs="Calibri"/>
          <w:kern w:val="20"/>
          <w:sz w:val="24"/>
          <w:szCs w:val="24"/>
          <w:lang w:eastAsia="ja-JP"/>
          <w14:ligatures w14:val="none"/>
        </w:rPr>
      </w:pP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127B8" w14:textId="77777777" w:rsidR="007F132F" w:rsidRDefault="007F132F">
      <w:pPr>
        <w:spacing w:after="0" w:line="240" w:lineRule="auto"/>
      </w:pPr>
      <w:r>
        <w:separator/>
      </w:r>
    </w:p>
  </w:endnote>
  <w:endnote w:type="continuationSeparator" w:id="0">
    <w:p w14:paraId="40EFFE0B" w14:textId="77777777" w:rsidR="007F132F" w:rsidRDefault="007F1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FA09E" w14:textId="77777777" w:rsidR="007F132F" w:rsidRDefault="007F132F">
      <w:pPr>
        <w:spacing w:after="0" w:line="240" w:lineRule="auto"/>
      </w:pPr>
      <w:r>
        <w:separator/>
      </w:r>
    </w:p>
  </w:footnote>
  <w:footnote w:type="continuationSeparator" w:id="0">
    <w:p w14:paraId="67ED49B2" w14:textId="77777777" w:rsidR="007F132F" w:rsidRDefault="007F1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E55C8"/>
    <w:rsid w:val="00290684"/>
    <w:rsid w:val="002D05EF"/>
    <w:rsid w:val="00304A16"/>
    <w:rsid w:val="00316DE5"/>
    <w:rsid w:val="00442278"/>
    <w:rsid w:val="0051181A"/>
    <w:rsid w:val="0055796C"/>
    <w:rsid w:val="00571107"/>
    <w:rsid w:val="005D288A"/>
    <w:rsid w:val="00625816"/>
    <w:rsid w:val="006A226D"/>
    <w:rsid w:val="006F4439"/>
    <w:rsid w:val="007053A8"/>
    <w:rsid w:val="0073786A"/>
    <w:rsid w:val="007F132F"/>
    <w:rsid w:val="00805849"/>
    <w:rsid w:val="008A44A1"/>
    <w:rsid w:val="008E00D3"/>
    <w:rsid w:val="00927971"/>
    <w:rsid w:val="00962642"/>
    <w:rsid w:val="009F3F96"/>
    <w:rsid w:val="00A66472"/>
    <w:rsid w:val="00C5619E"/>
    <w:rsid w:val="00CB0416"/>
    <w:rsid w:val="00D1251E"/>
    <w:rsid w:val="00D216D3"/>
    <w:rsid w:val="00D37B70"/>
    <w:rsid w:val="00D50FB2"/>
    <w:rsid w:val="00E01CD9"/>
    <w:rsid w:val="00EA377A"/>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41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2300</Words>
  <Characters>13806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29</cp:revision>
  <cp:lastPrinted>2025-03-31T11:14:00Z</cp:lastPrinted>
  <dcterms:created xsi:type="dcterms:W3CDTF">2025-02-14T11:11:00Z</dcterms:created>
  <dcterms:modified xsi:type="dcterms:W3CDTF">2025-03-31T11:14:00Z</dcterms:modified>
</cp:coreProperties>
</file>