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89C7A" w14:textId="4EC529D2" w:rsidR="00356D23" w:rsidRPr="00B31FA4" w:rsidRDefault="00356D23" w:rsidP="00356D23">
      <w:pPr>
        <w:spacing w:after="0" w:line="269" w:lineRule="auto"/>
        <w:ind w:right="6"/>
        <w:jc w:val="both"/>
        <w:rPr>
          <w:rFonts w:cstheme="minorHAnsi"/>
          <w:b/>
          <w:bCs/>
          <w:lang w:val="x-none"/>
        </w:rPr>
      </w:pPr>
      <w:bookmarkStart w:id="0" w:name="_Toc71872901"/>
      <w:bookmarkStart w:id="1" w:name="_Hlk159227430"/>
      <w:r w:rsidRPr="00B31FA4">
        <w:rPr>
          <w:rFonts w:cstheme="minorHAnsi"/>
          <w:b/>
          <w:bCs/>
          <w:lang w:val="x-none"/>
        </w:rPr>
        <w:t>OPIS PRZEDMIOTU ZAMÓWIENIA</w:t>
      </w:r>
      <w:bookmarkEnd w:id="0"/>
      <w:r w:rsidR="00746694">
        <w:rPr>
          <w:rFonts w:cstheme="minorHAnsi"/>
          <w:b/>
          <w:bCs/>
          <w:lang w:val="x-none"/>
        </w:rPr>
        <w:t xml:space="preserve"> dla Części 5</w:t>
      </w:r>
    </w:p>
    <w:p w14:paraId="7791DE1E" w14:textId="77777777" w:rsidR="00E55CBA" w:rsidRPr="00B31FA4" w:rsidRDefault="00E55CBA" w:rsidP="00356D23">
      <w:pPr>
        <w:spacing w:after="0" w:line="269" w:lineRule="auto"/>
        <w:ind w:right="6"/>
        <w:jc w:val="both"/>
        <w:rPr>
          <w:rFonts w:eastAsia="Calibri" w:cstheme="minorHAnsi"/>
          <w:color w:val="000000"/>
          <w:lang w:eastAsia="pl-PL"/>
        </w:rPr>
      </w:pPr>
      <w:r w:rsidRPr="00B31FA4">
        <w:rPr>
          <w:rFonts w:eastAsia="Calibri" w:cstheme="minorHAnsi"/>
          <w:color w:val="000000"/>
          <w:lang w:eastAsia="pl-PL"/>
        </w:rPr>
        <w:t xml:space="preserve">Wspólny Słownik Zamówień (CPV). </w:t>
      </w:r>
    </w:p>
    <w:p w14:paraId="320312E5" w14:textId="77777777" w:rsidR="00E55CBA" w:rsidRPr="00B31FA4" w:rsidRDefault="00E55CBA" w:rsidP="00356D23">
      <w:pPr>
        <w:tabs>
          <w:tab w:val="left" w:pos="851"/>
        </w:tabs>
        <w:spacing w:after="240" w:line="269" w:lineRule="auto"/>
        <w:ind w:right="6"/>
        <w:jc w:val="both"/>
        <w:rPr>
          <w:rFonts w:cstheme="minorHAnsi"/>
          <w:b/>
          <w:lang w:eastAsia="zh-CN"/>
        </w:rPr>
      </w:pPr>
      <w:r w:rsidRPr="00B31FA4">
        <w:rPr>
          <w:rFonts w:cstheme="minorHAnsi"/>
          <w:b/>
          <w:bCs/>
        </w:rPr>
        <w:t>Główny kod CPV:</w:t>
      </w:r>
      <w:r w:rsidRPr="00B31FA4">
        <w:rPr>
          <w:rFonts w:cstheme="minorHAnsi"/>
          <w:b/>
          <w:lang w:eastAsia="zh-CN"/>
        </w:rPr>
        <w:t xml:space="preserve"> </w:t>
      </w:r>
      <w:r w:rsidRPr="00B31FA4">
        <w:rPr>
          <w:rFonts w:cstheme="minorHAnsi"/>
          <w:b/>
          <w:bCs/>
        </w:rPr>
        <w:t>71320000-7 –</w:t>
      </w:r>
      <w:r w:rsidRPr="00B31FA4">
        <w:rPr>
          <w:rFonts w:cstheme="minorHAnsi"/>
        </w:rPr>
        <w:t>projektowanie instalacji elektrycznych</w:t>
      </w:r>
      <w:r w:rsidRPr="00B31FA4">
        <w:rPr>
          <w:rFonts w:cstheme="minorHAnsi"/>
          <w:b/>
          <w:lang w:eastAsia="zh-CN"/>
        </w:rPr>
        <w:t>,</w:t>
      </w:r>
    </w:p>
    <w:p w14:paraId="0BDD7401" w14:textId="47D85EEE" w:rsidR="00356D23" w:rsidRPr="00B31FA4" w:rsidRDefault="00356D23" w:rsidP="00382C0E">
      <w:pPr>
        <w:pStyle w:val="Akapitzlist"/>
        <w:numPr>
          <w:ilvl w:val="0"/>
          <w:numId w:val="19"/>
        </w:numPr>
        <w:tabs>
          <w:tab w:val="left" w:pos="851"/>
        </w:tabs>
        <w:spacing w:after="0" w:line="269" w:lineRule="auto"/>
        <w:ind w:right="6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31FA4">
        <w:rPr>
          <w:rFonts w:eastAsia="Calibri" w:cstheme="minorHAnsi"/>
          <w:b/>
          <w:bCs/>
          <w:color w:val="000000"/>
          <w:lang w:eastAsia="pl-PL"/>
        </w:rPr>
        <w:t>Przedmiot zamówienia</w:t>
      </w:r>
    </w:p>
    <w:bookmarkEnd w:id="1"/>
    <w:p w14:paraId="3AF8A78B" w14:textId="4B18FD32" w:rsidR="00E55CBA" w:rsidRPr="00B31FA4" w:rsidRDefault="00E55CBA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Przedmiotem zamówienia jest usługa, w rozumieniu art. 7 pkt 28 Pzp, polegająca </w:t>
      </w:r>
      <w:r w:rsidRPr="00B31FA4">
        <w:rPr>
          <w:rFonts w:cstheme="minorHAnsi"/>
        </w:rPr>
        <w:br/>
        <w:t xml:space="preserve">na wykonaniu dokumentacji projektowej </w:t>
      </w:r>
      <w:r w:rsidR="005433B4" w:rsidRPr="00B31FA4">
        <w:rPr>
          <w:rFonts w:cstheme="minorHAnsi"/>
        </w:rPr>
        <w:t xml:space="preserve">modernizacji </w:t>
      </w:r>
      <w:r w:rsidRPr="00B31FA4">
        <w:rPr>
          <w:rFonts w:cstheme="minorHAnsi"/>
        </w:rPr>
        <w:t>oświetlenia ulic</w:t>
      </w:r>
      <w:r w:rsidR="00625204" w:rsidRPr="00B31FA4">
        <w:rPr>
          <w:rFonts w:cstheme="minorHAnsi"/>
        </w:rPr>
        <w:t>, parków, skwerów oraz miejsc publicznych zarządzanych przez Prezydenta Miasta Bydgoszczy</w:t>
      </w:r>
      <w:r w:rsidRPr="00B31FA4">
        <w:rPr>
          <w:rFonts w:cstheme="minorHAnsi"/>
        </w:rPr>
        <w:t xml:space="preserve"> zlokalizowanych </w:t>
      </w:r>
      <w:r w:rsidR="00627058" w:rsidRPr="00B31FA4">
        <w:rPr>
          <w:rFonts w:cstheme="minorHAnsi"/>
        </w:rPr>
        <w:br/>
      </w:r>
      <w:r w:rsidRPr="00B31FA4">
        <w:rPr>
          <w:rFonts w:cstheme="minorHAnsi"/>
        </w:rPr>
        <w:t>na terenie miasta Bydgoszczy</w:t>
      </w:r>
      <w:r w:rsidR="00625204" w:rsidRPr="00B31FA4">
        <w:rPr>
          <w:rFonts w:cstheme="minorHAnsi"/>
        </w:rPr>
        <w:t xml:space="preserve"> oraz sprawowaniu nadzoru autorskiego nad realizacją własnego projektu w zakresie i na warunkach wykonania zamówienia szczegółowo określonych </w:t>
      </w:r>
      <w:r w:rsidR="00627058" w:rsidRPr="00B31FA4">
        <w:rPr>
          <w:rFonts w:cstheme="minorHAnsi"/>
        </w:rPr>
        <w:br/>
      </w:r>
      <w:r w:rsidR="00625204" w:rsidRPr="00B31FA4">
        <w:rPr>
          <w:rFonts w:cstheme="minorHAnsi"/>
        </w:rPr>
        <w:t>w załącznikach do SWZ stanowiących jej integralną część</w:t>
      </w:r>
      <w:r w:rsidR="00AD4F7D" w:rsidRPr="00B31FA4">
        <w:rPr>
          <w:rFonts w:cstheme="minorHAnsi"/>
        </w:rPr>
        <w:t>.</w:t>
      </w:r>
    </w:p>
    <w:p w14:paraId="1C3820A7" w14:textId="77777777" w:rsidR="00712CF2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</w:p>
    <w:p w14:paraId="276692E1" w14:textId="4E42A2A8" w:rsidR="00AD4F7D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>W ramach zamówienia podstawowego p</w:t>
      </w:r>
      <w:r w:rsidR="00AD4F7D" w:rsidRPr="00B31FA4">
        <w:rPr>
          <w:rFonts w:cstheme="minorHAnsi"/>
        </w:rPr>
        <w:t xml:space="preserve">rojektowane oświetlenie należy lokować wyłącznie </w:t>
      </w:r>
      <w:r w:rsidR="00627058" w:rsidRPr="00B31FA4">
        <w:rPr>
          <w:rFonts w:cstheme="minorHAnsi"/>
        </w:rPr>
        <w:br/>
      </w:r>
      <w:r w:rsidR="00AD4F7D" w:rsidRPr="00B31FA4">
        <w:rPr>
          <w:rFonts w:cstheme="minorHAnsi"/>
        </w:rPr>
        <w:t xml:space="preserve">w pasach drogowych oraz na terenie skwerów/parków miejskich. </w:t>
      </w:r>
      <w:r w:rsidRPr="00B31FA4">
        <w:rPr>
          <w:rFonts w:cstheme="minorHAnsi"/>
        </w:rPr>
        <w:t xml:space="preserve">Zakresem projektowania należy objąć </w:t>
      </w:r>
      <w:r w:rsidR="00382C0E" w:rsidRPr="00B31FA4">
        <w:rPr>
          <w:rFonts w:cstheme="minorHAnsi"/>
        </w:rPr>
        <w:t>wszystkie części</w:t>
      </w:r>
      <w:r w:rsidRPr="00B31FA4">
        <w:rPr>
          <w:rFonts w:cstheme="minorHAnsi"/>
        </w:rPr>
        <w:t xml:space="preserve"> Miasta zgodne z mapami, na których przedstawiono obecną infrastrukturę Enea Oświetlenie sp. z. o.o. Oświetlenie należy projektować w sposób zapewniający spełnienie norm oświetleniowych na działkach Miasta, które wcześniej były oświetlane obcą infrastrukturą. Tereny prywatne, które wcześniej były bezpośrednio lub pośrednio oświetlane obcą infrastrukturą należy pominąć.  </w:t>
      </w:r>
      <w:r w:rsidR="00AD4F7D" w:rsidRPr="00B31FA4">
        <w:rPr>
          <w:rFonts w:cstheme="minorHAnsi"/>
        </w:rPr>
        <w:t>W ramach zadania należy uzyskać prawo do dysponowania gruntem na cele budowlane od podmiotów innych niż Miasto</w:t>
      </w:r>
      <w:r w:rsidRPr="00B31FA4">
        <w:rPr>
          <w:rFonts w:cstheme="minorHAnsi"/>
        </w:rPr>
        <w:t>. Obecna infrastruktura Enea Oświetlenie objęta zestawieniem (służąca głównie oświetleniu pasów drogowych oraz skwerów/parków miejskich) znajduje się na działkach własności Miasta oraz działkach innych podmiotów.</w:t>
      </w:r>
    </w:p>
    <w:p w14:paraId="5F0B3234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6E4FE58B" w14:textId="750982CB" w:rsidR="00AD4F7D" w:rsidRPr="00B31FA4" w:rsidRDefault="00AD4F7D" w:rsidP="00B31FA4">
      <w:pPr>
        <w:suppressAutoHyphens/>
        <w:spacing w:before="120" w:line="240" w:lineRule="auto"/>
        <w:ind w:left="851"/>
        <w:jc w:val="both"/>
        <w:rPr>
          <w:rFonts w:eastAsia="Calibri" w:cstheme="minorHAnsi"/>
          <w:bCs/>
          <w:lang w:eastAsia="zh-CN"/>
        </w:rPr>
      </w:pPr>
      <w:r w:rsidRPr="00B31FA4">
        <w:rPr>
          <w:rFonts w:eastAsia="Calibri" w:cstheme="minorHAnsi"/>
          <w:bCs/>
          <w:lang w:eastAsia="zh-CN"/>
        </w:rPr>
        <w:t xml:space="preserve">Przedmiot zamówienia został podzielony na 6 </w:t>
      </w:r>
      <w:r w:rsidR="00382C0E" w:rsidRPr="00B31FA4">
        <w:rPr>
          <w:rFonts w:eastAsia="Calibri" w:cstheme="minorHAnsi"/>
          <w:bCs/>
          <w:lang w:eastAsia="zh-CN"/>
        </w:rPr>
        <w:t>części</w:t>
      </w:r>
      <w:r w:rsidRPr="00B31FA4">
        <w:rPr>
          <w:rFonts w:eastAsia="Calibri" w:cstheme="minorHAnsi"/>
          <w:bCs/>
          <w:lang w:eastAsia="zh-CN"/>
        </w:rPr>
        <w:t>:</w:t>
      </w:r>
    </w:p>
    <w:p w14:paraId="2AE8DD1D" w14:textId="4B4CC2E7" w:rsidR="00AD4F7D" w:rsidRPr="00B31FA4" w:rsidRDefault="00382C0E" w:rsidP="00122226">
      <w:pPr>
        <w:ind w:left="1701" w:hanging="850"/>
        <w:jc w:val="both"/>
        <w:rPr>
          <w:rFonts w:cstheme="minorHAnsi"/>
        </w:rPr>
      </w:pPr>
      <w:bookmarkStart w:id="2" w:name="_Hlk159232672"/>
      <w:r w:rsidRPr="00B31FA4">
        <w:rPr>
          <w:rFonts w:cstheme="minorHAnsi"/>
        </w:rPr>
        <w:t xml:space="preserve">Część </w:t>
      </w:r>
      <w:r w:rsidR="00AD4F7D" w:rsidRPr="00B31FA4">
        <w:rPr>
          <w:rFonts w:cstheme="minorHAnsi"/>
        </w:rPr>
        <w:t xml:space="preserve">V - </w:t>
      </w:r>
      <w:r w:rsidR="008C11EE" w:rsidRPr="00B31FA4">
        <w:rPr>
          <w:rFonts w:cstheme="minorHAnsi"/>
        </w:rPr>
        <w:t xml:space="preserve">wykonanie dokumentacji projektowej linii oświetlenia ulic </w:t>
      </w:r>
      <w:r w:rsidR="00122226" w:rsidRPr="00B31FA4">
        <w:rPr>
          <w:rFonts w:cstheme="minorHAnsi"/>
        </w:rPr>
        <w:t xml:space="preserve">na terenie miasta Bydgoszczy </w:t>
      </w:r>
      <w:r w:rsidR="008C11EE" w:rsidRPr="00B31FA4">
        <w:rPr>
          <w:rFonts w:cstheme="minorHAnsi"/>
        </w:rPr>
        <w:t xml:space="preserve">o </w:t>
      </w:r>
      <w:r w:rsidR="00122226" w:rsidRPr="00B31FA4">
        <w:rPr>
          <w:rFonts w:cstheme="minorHAnsi"/>
        </w:rPr>
        <w:t xml:space="preserve">łącznej </w:t>
      </w:r>
      <w:r w:rsidR="008C11EE" w:rsidRPr="00B31FA4">
        <w:rPr>
          <w:rFonts w:cstheme="minorHAnsi"/>
        </w:rPr>
        <w:t xml:space="preserve">długości </w:t>
      </w:r>
      <w:r w:rsidR="00F804F3">
        <w:rPr>
          <w:rFonts w:cstheme="minorHAnsi"/>
        </w:rPr>
        <w:t>37,89</w:t>
      </w:r>
      <w:r w:rsidR="008C11EE" w:rsidRPr="00B31FA4">
        <w:rPr>
          <w:rFonts w:cstheme="minorHAnsi"/>
        </w:rPr>
        <w:t xml:space="preserve"> km</w:t>
      </w:r>
      <w:r w:rsidR="005F6D82" w:rsidRPr="00B31FA4">
        <w:rPr>
          <w:rFonts w:cstheme="minorHAnsi"/>
        </w:rPr>
        <w:t xml:space="preserve"> (3</w:t>
      </w:r>
      <w:r w:rsidR="009C5D08">
        <w:rPr>
          <w:rFonts w:cstheme="minorHAnsi"/>
        </w:rPr>
        <w:t>79</w:t>
      </w:r>
      <w:r w:rsidR="005F6D82" w:rsidRPr="00B31FA4">
        <w:rPr>
          <w:rFonts w:cstheme="minorHAnsi"/>
        </w:rPr>
        <w:t xml:space="preserve"> jednostek projektowych)</w:t>
      </w:r>
      <w:r w:rsidR="00122226">
        <w:rPr>
          <w:rFonts w:cstheme="minorHAnsi"/>
        </w:rPr>
        <w:t xml:space="preserve"> przypadających na 49 odrębnych projektów (modernizowane szafy oświetleniowe) </w:t>
      </w:r>
      <w:r w:rsidR="00AD4F7D" w:rsidRPr="00B31FA4">
        <w:rPr>
          <w:rFonts w:cstheme="minorHAnsi"/>
        </w:rPr>
        <w:t>– zakres opisany jest w arkuszu kalkulacyjnym i  przedstawiony na załączniku graficznym – zadanie 5</w:t>
      </w:r>
    </w:p>
    <w:bookmarkEnd w:id="2"/>
    <w:p w14:paraId="00C4D091" w14:textId="596D0E22" w:rsidR="00122226" w:rsidRPr="00122226" w:rsidRDefault="00122226" w:rsidP="00A63DC3">
      <w:pPr>
        <w:ind w:left="993"/>
        <w:jc w:val="both"/>
        <w:rPr>
          <w:rFonts w:cstheme="minorHAnsi"/>
          <w:b/>
          <w:bCs/>
          <w:color w:val="0070C0"/>
          <w:u w:val="single"/>
        </w:rPr>
      </w:pPr>
      <w:r w:rsidRPr="00122226">
        <w:rPr>
          <w:rFonts w:cstheme="minorHAnsi"/>
          <w:b/>
          <w:bCs/>
          <w:color w:val="0070C0"/>
          <w:u w:val="single"/>
        </w:rPr>
        <w:t>UWAGA:</w:t>
      </w:r>
    </w:p>
    <w:p w14:paraId="3875A9E4" w14:textId="12E1F01A" w:rsidR="00FD0438" w:rsidRPr="00122226" w:rsidRDefault="005F6D82" w:rsidP="00A63DC3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1 jednostkę projektową uznaj</w:t>
      </w:r>
      <w:r w:rsidR="00FD0438" w:rsidRPr="00122226">
        <w:rPr>
          <w:rFonts w:cstheme="minorHAnsi"/>
          <w:b/>
          <w:bCs/>
          <w:color w:val="0070C0"/>
        </w:rPr>
        <w:t>e</w:t>
      </w:r>
      <w:r w:rsidRPr="00122226">
        <w:rPr>
          <w:rFonts w:cstheme="minorHAnsi"/>
          <w:b/>
          <w:bCs/>
          <w:color w:val="0070C0"/>
        </w:rPr>
        <w:t xml:space="preserve"> się </w:t>
      </w:r>
      <w:r w:rsidR="00FD0438" w:rsidRPr="00122226">
        <w:rPr>
          <w:rFonts w:cstheme="minorHAnsi"/>
          <w:b/>
          <w:bCs/>
          <w:color w:val="0070C0"/>
        </w:rPr>
        <w:t>wykonanie kompletnej dokumentacji projektowej budowy 100 m linii oświetleniowej.</w:t>
      </w:r>
    </w:p>
    <w:p w14:paraId="582D2962" w14:textId="7CE24476" w:rsidR="00122226" w:rsidRPr="00746694" w:rsidRDefault="00122226" w:rsidP="00746694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linię oświetleniową uznaje się elektroenergetyczną linię kablową ze wszystkimi elementami służącymi do zasilenia źródeł światła, wraz z konstrukcjami wsporczymi, wysięgnikami dla opraw oświetleniowych, łącznie z oprawami oświetleniowymi i elementami ochrony przeciwporażeniowej opraw, słupów i szaf oświetleniowych.</w:t>
      </w:r>
    </w:p>
    <w:p w14:paraId="0C826046" w14:textId="0F6967A5" w:rsidR="007B2FE9" w:rsidRPr="00746694" w:rsidRDefault="00A63DC3" w:rsidP="00746694">
      <w:pPr>
        <w:ind w:left="851"/>
        <w:jc w:val="both"/>
        <w:rPr>
          <w:rFonts w:cstheme="minorHAnsi"/>
        </w:rPr>
      </w:pPr>
      <w:r w:rsidRPr="00122226">
        <w:rPr>
          <w:rFonts w:cstheme="minorHAnsi"/>
        </w:rPr>
        <w:t xml:space="preserve">Załącznik graficzny oraz zakres oświetlenia do wymiany stanowi integralną część zamówienia do OPZ </w:t>
      </w:r>
      <w:r w:rsidR="00B31FA4" w:rsidRPr="00122226">
        <w:rPr>
          <w:rFonts w:cstheme="minorHAnsi"/>
        </w:rPr>
        <w:t xml:space="preserve">dla części: </w:t>
      </w:r>
    </w:p>
    <w:p w14:paraId="6BF1F3B2" w14:textId="454674B9" w:rsidR="00A63DC3" w:rsidRPr="00122226" w:rsidRDefault="00B31FA4" w:rsidP="007B2FE9">
      <w:pPr>
        <w:spacing w:after="0" w:line="240" w:lineRule="auto"/>
        <w:ind w:left="851"/>
        <w:rPr>
          <w:rFonts w:cstheme="minorHAnsi"/>
          <w:u w:val="single"/>
        </w:rPr>
      </w:pPr>
      <w:r w:rsidRPr="00122226">
        <w:rPr>
          <w:rFonts w:cstheme="minorHAnsi"/>
          <w:u w:val="single"/>
        </w:rPr>
        <w:t xml:space="preserve">Część 5 </w:t>
      </w:r>
    </w:p>
    <w:p w14:paraId="0BB3345C" w14:textId="791313F7" w:rsidR="00B31FA4" w:rsidRPr="00122226" w:rsidRDefault="00B31FA4" w:rsidP="007B2FE9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>zał. 1  do OPZ – część V.dwg,</w:t>
      </w:r>
    </w:p>
    <w:p w14:paraId="4A5211DD" w14:textId="53EE8F52" w:rsidR="00A63DC3" w:rsidRPr="00122226" w:rsidRDefault="00A63DC3" w:rsidP="007B2FE9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>zał. 2 do OPZ  - zakres oświetlenia do wymiany - część V</w:t>
      </w:r>
    </w:p>
    <w:p w14:paraId="4BCDBFE7" w14:textId="1B0749D7" w:rsidR="00746694" w:rsidRPr="00122226" w:rsidRDefault="00746694" w:rsidP="00746694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 xml:space="preserve">zał. </w:t>
      </w:r>
      <w:r>
        <w:rPr>
          <w:rFonts w:cstheme="minorHAnsi"/>
        </w:rPr>
        <w:t>3</w:t>
      </w:r>
      <w:r w:rsidRPr="00122226">
        <w:rPr>
          <w:rFonts w:cstheme="minorHAnsi"/>
        </w:rPr>
        <w:t xml:space="preserve"> do OPZ  - </w:t>
      </w:r>
      <w:r>
        <w:rPr>
          <w:rFonts w:cstheme="minorHAnsi"/>
        </w:rPr>
        <w:t>warunki techniczne</w:t>
      </w:r>
    </w:p>
    <w:p w14:paraId="63EA00B6" w14:textId="77777777" w:rsidR="007B2FE9" w:rsidRPr="00122226" w:rsidRDefault="007B2FE9" w:rsidP="007B2FE9">
      <w:pPr>
        <w:spacing w:after="0" w:line="240" w:lineRule="auto"/>
        <w:ind w:left="851"/>
        <w:rPr>
          <w:rFonts w:cstheme="minorHAnsi"/>
          <w:sz w:val="18"/>
          <w:szCs w:val="18"/>
        </w:rPr>
      </w:pPr>
    </w:p>
    <w:p w14:paraId="362FF106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61C32DFB" w14:textId="77777777" w:rsidR="005433B4" w:rsidRPr="00B31FA4" w:rsidRDefault="00C853B2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Do zadań wykonawcy</w:t>
      </w:r>
      <w:r w:rsidR="005433B4" w:rsidRPr="00B31FA4">
        <w:rPr>
          <w:rFonts w:cstheme="minorHAnsi"/>
        </w:rPr>
        <w:t xml:space="preserve"> należy:</w:t>
      </w:r>
    </w:p>
    <w:p w14:paraId="6ADCE14F" w14:textId="6D66F207" w:rsidR="005433B4" w:rsidRPr="00B31FA4" w:rsidRDefault="005433B4" w:rsidP="005433B4">
      <w:pPr>
        <w:pStyle w:val="Akapitzlist"/>
        <w:numPr>
          <w:ilvl w:val="0"/>
          <w:numId w:val="10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Zaprojektowanie nowej energooszczędnej infrastruktury oświetlenia ulicznego, parkowego w miejsce istniejącej nieenergooszczędnej sieci oświetleniowej, </w:t>
      </w:r>
      <w:r w:rsidR="00FA6703" w:rsidRPr="00B31FA4">
        <w:rPr>
          <w:rFonts w:cstheme="minorHAnsi"/>
        </w:rPr>
        <w:t xml:space="preserve">ujętej w </w:t>
      </w:r>
      <w:r w:rsidR="00CD681E" w:rsidRPr="00B31FA4">
        <w:rPr>
          <w:rFonts w:cstheme="minorHAnsi"/>
        </w:rPr>
        <w:t>załącznikach do OPZ.</w:t>
      </w:r>
    </w:p>
    <w:p w14:paraId="57DCD09D" w14:textId="28612B22" w:rsidR="001A7227" w:rsidRPr="00B31FA4" w:rsidRDefault="004E5C5D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Odrębne opracowanie d</w:t>
      </w:r>
      <w:r w:rsidR="00081721" w:rsidRPr="00B31FA4">
        <w:rPr>
          <w:rFonts w:cstheme="minorHAnsi"/>
        </w:rPr>
        <w:t>okumentacj</w:t>
      </w:r>
      <w:r w:rsidRPr="00B31FA4">
        <w:rPr>
          <w:rFonts w:cstheme="minorHAnsi"/>
        </w:rPr>
        <w:t>i</w:t>
      </w:r>
      <w:r w:rsidR="00081721" w:rsidRPr="00B31FA4">
        <w:rPr>
          <w:rFonts w:cstheme="minorHAnsi"/>
        </w:rPr>
        <w:t xml:space="preserve"> projektow</w:t>
      </w:r>
      <w:r w:rsidRPr="00B31FA4">
        <w:rPr>
          <w:rFonts w:cstheme="minorHAnsi"/>
        </w:rPr>
        <w:t>ej</w:t>
      </w:r>
      <w:r w:rsidR="00081721" w:rsidRPr="00B31FA4">
        <w:rPr>
          <w:rFonts w:cstheme="minorHAnsi"/>
        </w:rPr>
        <w:t xml:space="preserve"> będzie obejmował</w:t>
      </w:r>
      <w:r w:rsidRPr="00B31FA4">
        <w:rPr>
          <w:rFonts w:cstheme="minorHAnsi"/>
        </w:rPr>
        <w:t>o</w:t>
      </w:r>
      <w:r w:rsidR="00081721" w:rsidRPr="00B31FA4">
        <w:rPr>
          <w:rFonts w:cstheme="minorHAnsi"/>
        </w:rPr>
        <w:t xml:space="preserve"> zasięg jednej istniejącej modernizowanej szafy oświetleniowej.</w:t>
      </w:r>
    </w:p>
    <w:p w14:paraId="610E4127" w14:textId="13CBDC65" w:rsidR="00161835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Do każdej dokumentacji projektowej będzie przygotowany kosztorys inwestorski </w:t>
      </w:r>
      <w:r w:rsidRPr="00B31FA4">
        <w:rPr>
          <w:rFonts w:cstheme="minorHAnsi"/>
        </w:rPr>
        <w:br/>
        <w:t>z podziałem na ulice.</w:t>
      </w:r>
    </w:p>
    <w:p w14:paraId="41148A8B" w14:textId="215FDF12" w:rsidR="00081721" w:rsidRPr="00B31FA4" w:rsidRDefault="00081721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 ciągu dwóch tygodni od podpisania umowy Wykonawca uzgodni z  Zamawiającym  harmonogram prac</w:t>
      </w:r>
      <w:r w:rsidR="00161835" w:rsidRPr="00B31FA4">
        <w:rPr>
          <w:rFonts w:cstheme="minorHAnsi"/>
        </w:rPr>
        <w:t>.</w:t>
      </w:r>
    </w:p>
    <w:p w14:paraId="33C83DE1" w14:textId="6E7599AC" w:rsidR="00081721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 celu zapewnienia zasilania nowoprojektowanej infrastruktury </w:t>
      </w:r>
      <w:r w:rsidR="00081721" w:rsidRPr="00B31FA4">
        <w:rPr>
          <w:rFonts w:cstheme="minorHAnsi"/>
        </w:rPr>
        <w:t>Wykonawca uwzględni możliwość rozbudowy istniejącej infrastruktury oświetlenia własności Miasta Bydgoszcz.</w:t>
      </w:r>
    </w:p>
    <w:p w14:paraId="6ADF907A" w14:textId="16FB65FF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przewidzi możliwość wystąpienia stref konserwatorskich</w:t>
      </w:r>
      <w:r w:rsidR="00161835" w:rsidRPr="00B31FA4">
        <w:rPr>
          <w:rFonts w:cstheme="minorHAnsi"/>
        </w:rPr>
        <w:t>.</w:t>
      </w:r>
      <w:r w:rsidR="00A62EA8" w:rsidRPr="00B31FA4">
        <w:rPr>
          <w:rFonts w:cstheme="minorHAnsi"/>
        </w:rPr>
        <w:t xml:space="preserve"> Informacje dostępne na stronie internetowej Miejskiej Pracowni Urbanistycznej w Bydgoszczy – plany miejscowe (https://www.mpu.bydgoszcz.pl/)</w:t>
      </w:r>
    </w:p>
    <w:p w14:paraId="38A02551" w14:textId="776B7260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Wykonawca </w:t>
      </w:r>
      <w:r w:rsidR="00A166A7" w:rsidRPr="00B31FA4">
        <w:rPr>
          <w:rFonts w:cstheme="minorHAnsi"/>
        </w:rPr>
        <w:t>zaprojektuje</w:t>
      </w:r>
      <w:r w:rsidRPr="00B31FA4">
        <w:rPr>
          <w:rFonts w:cstheme="minorHAnsi"/>
        </w:rPr>
        <w:t xml:space="preserve"> doświetlenie istniejących/nowo projektowanych przejść dla pieszych</w:t>
      </w:r>
    </w:p>
    <w:p w14:paraId="5539E80D" w14:textId="652938AA" w:rsidR="0084629F" w:rsidRPr="00BE520F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zrealizuje dokumentację projektową zgodnie z warunkami technicznymi stanowiący załącznik nr</w:t>
      </w:r>
      <w:r w:rsidR="00BE520F">
        <w:rPr>
          <w:rFonts w:cstheme="minorHAnsi"/>
        </w:rPr>
        <w:t xml:space="preserve"> </w:t>
      </w:r>
      <w:r w:rsidR="00BE520F" w:rsidRPr="00BE520F">
        <w:rPr>
          <w:rFonts w:cstheme="minorHAnsi"/>
        </w:rPr>
        <w:t>3 do OPZ</w:t>
      </w:r>
      <w:r w:rsidR="00BE520F">
        <w:rPr>
          <w:rFonts w:cstheme="minorHAnsi"/>
        </w:rPr>
        <w:t>.</w:t>
      </w:r>
    </w:p>
    <w:p w14:paraId="7FE87CC6" w14:textId="358AD0BB" w:rsidR="00947AA2" w:rsidRPr="00B31FA4" w:rsidRDefault="00947AA2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zawierać nowoczesne rozwiązania technologiczne oszczędzające zużycie energii i naturalnych zasobów</w:t>
      </w:r>
    </w:p>
    <w:p w14:paraId="53AEEBE3" w14:textId="75706A72" w:rsidR="006E21D5" w:rsidRPr="00B31FA4" w:rsidRDefault="006E21D5" w:rsidP="00AD4F7D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bookmarkStart w:id="3" w:name="_Toc392790818"/>
      <w:bookmarkStart w:id="4" w:name="_Toc486592612"/>
    </w:p>
    <w:p w14:paraId="39BB3983" w14:textId="15671EB1" w:rsidR="001F3FCF" w:rsidRPr="00B31FA4" w:rsidRDefault="0078480B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II</w:t>
      </w:r>
      <w:r w:rsidR="004833B3" w:rsidRPr="00B31FA4">
        <w:rPr>
          <w:rFonts w:cstheme="minorHAnsi"/>
          <w:b/>
          <w:bCs/>
        </w:rPr>
        <w:t>.</w:t>
      </w:r>
      <w:r w:rsidRPr="00B31FA4">
        <w:rPr>
          <w:rFonts w:cstheme="minorHAnsi"/>
          <w:b/>
          <w:bCs/>
        </w:rPr>
        <w:tab/>
      </w:r>
      <w:r w:rsidR="001F3FCF" w:rsidRPr="00B31FA4">
        <w:rPr>
          <w:rFonts w:cstheme="minorHAnsi"/>
          <w:b/>
          <w:bCs/>
        </w:rPr>
        <w:t>Część projektowa – wymagania Zamawiającego</w:t>
      </w:r>
      <w:bookmarkEnd w:id="3"/>
      <w:bookmarkEnd w:id="4"/>
      <w:r w:rsidR="001F3FCF" w:rsidRPr="00B31FA4">
        <w:rPr>
          <w:rFonts w:cstheme="minorHAnsi"/>
          <w:b/>
          <w:bCs/>
        </w:rPr>
        <w:t xml:space="preserve"> </w:t>
      </w:r>
    </w:p>
    <w:p w14:paraId="5E9A19CD" w14:textId="3CF65CA3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Zamówienie obejmuje wykonanie dokumentacji projektowej „Oświetlenia ulic zlokalizowanych na terenie miasta Bydgoszczy”, w skład której wchodzą następujące elementy składowe:</w:t>
      </w:r>
    </w:p>
    <w:p w14:paraId="4B320AEE" w14:textId="77777777" w:rsidR="00A63DC3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uzyskanie,</w:t>
      </w:r>
    </w:p>
    <w:p w14:paraId="58DCA4B0" w14:textId="2CE43E2D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 bądź aktualizacja warunków, opinii i uzgodnień wymaganych przepisami szczególnymi dla opracowanej dokumentacji projektowej (PB i PW),</w:t>
      </w:r>
    </w:p>
    <w:p w14:paraId="23A6DE43" w14:textId="77777777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przygotowanie mapy sytuacyjno-wysokościowej do celów projektowych,</w:t>
      </w:r>
    </w:p>
    <w:p w14:paraId="49B4E5DB" w14:textId="77777777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projektu budowlanego dla branży elektrycznej, </w:t>
      </w:r>
    </w:p>
    <w:p w14:paraId="1E8C2C10" w14:textId="2F56F6F8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 xml:space="preserve">uzyskanie decyzji zezwalającej na rozpoczęcie robót budowlanych (pozwolenia na budowę lub zgłoszenia robót nie wymagających pozwolenia na budowę) dla zadań wymagających takiej decyzji, w tym również przygotowanie wniosku i uzyskanie opinii w trybie o którym mowa w ustawie z dnia 10.04.2003 r. o szczególnych zasadach przygotowania i realizacji inwestycji w zakresie dróg publicznych </w:t>
      </w:r>
    </w:p>
    <w:p w14:paraId="1DCCA519" w14:textId="68B4BAA6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>wykonanie projektów wykonawczych dla branży elektrycznej, stałej organizacja ruchu drogowego, opracowanie specyfikacji technicznych wykonania i odbioru robót budowlanych dla wszystkich projektowanych branż, przygotowanie informacji dotyczącej bezpieczeństwa i ochrony zdrowia, opracowanie projektu tymczasowej organizacji ruchu drogowego na czas wykonywania robót budowlanych.</w:t>
      </w:r>
    </w:p>
    <w:p w14:paraId="7A0A19A6" w14:textId="0978A091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Dla wszystkich powyższych opracowań należy uzyskać wszystkie niezbędne warunki, uzgodnienia, opinie i pozwolenia umożliwiające rozpoczęcie robót budowlanych. W harmonogramie rzeczowym należy podać etapy prac projektowych z określeniem ich terminów wykonania (</w:t>
      </w:r>
      <w:r w:rsidRPr="00B31FA4">
        <w:rPr>
          <w:rFonts w:cstheme="minorHAnsi"/>
          <w:bCs/>
        </w:rPr>
        <w:t xml:space="preserve">w szczególności opracowania opracowanie projektu budowlanego, opracowanie projektu wykonawczego) z uwzględnieniem czasu na procedury administracyjne. Czas opracowania dokumentacji projektowej </w:t>
      </w:r>
      <w:r w:rsidRPr="00B31FA4">
        <w:rPr>
          <w:rFonts w:cstheme="minorHAnsi"/>
          <w:bCs/>
        </w:rPr>
        <w:lastRenderedPageBreak/>
        <w:t xml:space="preserve">wraz z uzyskaniem niezbędnych zezwoleń na realizację zadania w terenie  nie powinien być dłuższy niż </w:t>
      </w:r>
      <w:r w:rsidR="006E21D5" w:rsidRPr="00B31FA4">
        <w:rPr>
          <w:rFonts w:cstheme="minorHAnsi"/>
          <w:bCs/>
        </w:rPr>
        <w:t>36</w:t>
      </w:r>
      <w:r w:rsidR="00087B92" w:rsidRPr="00B31FA4">
        <w:rPr>
          <w:rFonts w:cstheme="minorHAnsi"/>
          <w:bCs/>
        </w:rPr>
        <w:t>0</w:t>
      </w:r>
      <w:r w:rsidRPr="00B31FA4">
        <w:rPr>
          <w:rFonts w:cstheme="minorHAnsi"/>
          <w:bCs/>
        </w:rPr>
        <w:t xml:space="preserve"> dni. </w:t>
      </w:r>
      <w:r w:rsidRPr="00B31FA4">
        <w:rPr>
          <w:rFonts w:cstheme="minorHAnsi"/>
        </w:rPr>
        <w:t>Dokumentacja projektowa obejmuje następujące elementy składowe (branże):</w:t>
      </w:r>
    </w:p>
    <w:p w14:paraId="7086F2A8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sieć elektryczna,</w:t>
      </w:r>
    </w:p>
    <w:p w14:paraId="041812E4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oświetlenie uliczne,</w:t>
      </w:r>
    </w:p>
    <w:p w14:paraId="302685ED" w14:textId="0F87F911" w:rsidR="000D5E69" w:rsidRPr="00B31FA4" w:rsidRDefault="000D5E69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likwidacja oświetlenia Enea Oświetlenie Sp. z o.o.,</w:t>
      </w:r>
    </w:p>
    <w:p w14:paraId="2A99720C" w14:textId="01463BF0" w:rsidR="001F3FCF" w:rsidRPr="00B31FA4" w:rsidRDefault="001F3FCF" w:rsidP="00F96EA8">
      <w:pPr>
        <w:numPr>
          <w:ilvl w:val="0"/>
          <w:numId w:val="5"/>
        </w:numPr>
        <w:jc w:val="both"/>
        <w:rPr>
          <w:rFonts w:cstheme="minorHAnsi"/>
        </w:rPr>
      </w:pPr>
      <w:r w:rsidRPr="00B31FA4">
        <w:rPr>
          <w:rFonts w:cstheme="minorHAnsi"/>
        </w:rPr>
        <w:t>stała</w:t>
      </w:r>
      <w:r w:rsidR="000D5E69" w:rsidRPr="00B31FA4">
        <w:rPr>
          <w:rFonts w:cstheme="minorHAnsi"/>
        </w:rPr>
        <w:t xml:space="preserve"> i czasowa</w:t>
      </w:r>
      <w:r w:rsidRPr="00B31FA4">
        <w:rPr>
          <w:rFonts w:cstheme="minorHAnsi"/>
        </w:rPr>
        <w:t xml:space="preserve"> organizacja ruchu drogowego.</w:t>
      </w:r>
    </w:p>
    <w:p w14:paraId="5BB8F932" w14:textId="028683B3" w:rsidR="001F3FCF" w:rsidRPr="00B31FA4" w:rsidRDefault="001F3FCF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</w:rPr>
      </w:pPr>
      <w:bookmarkStart w:id="5" w:name="_Toc392790819"/>
      <w:bookmarkStart w:id="6" w:name="_Toc486592613"/>
      <w:r w:rsidRPr="00B31FA4">
        <w:rPr>
          <w:rFonts w:cstheme="minorHAnsi"/>
          <w:b/>
          <w:bCs/>
        </w:rPr>
        <w:t>Wymagania w stosunku do zakresu i formy dokumentacji projektowej, specyfikacji technicznych wykonania i odbioru robót budowlanych</w:t>
      </w:r>
      <w:bookmarkEnd w:id="5"/>
      <w:bookmarkEnd w:id="6"/>
      <w:r w:rsidRPr="00B31FA4">
        <w:rPr>
          <w:rFonts w:cstheme="minorHAnsi"/>
          <w:b/>
          <w:bCs/>
        </w:rPr>
        <w:t xml:space="preserve"> </w:t>
      </w:r>
    </w:p>
    <w:p w14:paraId="623CCDE7" w14:textId="5E29352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być wykonana zgodnie z Rozporządzeniem Ministra Infrastruktury z dnia 2 września 2004r. w sprawie szczegółowego zakresu i formy projektu budowlanego</w:t>
      </w:r>
      <w:r w:rsidR="00087B92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Powinna obejmować wszystkie przewidziane do realizacji branże i być kompletna z punktu widzenia celu, któremu ma służyć. Zamawiający wymagać będzie opracowania jednej spójnej dokumentacji projektowej</w:t>
      </w:r>
      <w:r w:rsidR="00914C29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</w:t>
      </w:r>
    </w:p>
    <w:p w14:paraId="51B3EF7C" w14:textId="6A1669AF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budowlanych </w:t>
      </w:r>
    </w:p>
    <w:p w14:paraId="7EF73658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>Wykonanie projektów zagospodarowania terenu w skali 1:500</w:t>
      </w:r>
    </w:p>
    <w:p w14:paraId="6CECC70D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>Wykonanie projektów architektoniczno – budowlanych obejmujących:</w:t>
      </w:r>
    </w:p>
    <w:p w14:paraId="529D2BF1" w14:textId="47715330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przebudowę/budowę oświetlenia ulicznego w dostosowaniu do projektowanego układu zagospodarowania przestrzennego,</w:t>
      </w:r>
    </w:p>
    <w:p w14:paraId="72AB9DE1" w14:textId="1A11C1A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 xml:space="preserve">opracowanie projektów stałej </w:t>
      </w:r>
      <w:r w:rsidR="00C13A4A" w:rsidRPr="00B31FA4">
        <w:rPr>
          <w:rFonts w:cstheme="minorHAnsi"/>
        </w:rPr>
        <w:t xml:space="preserve">i czasowej </w:t>
      </w:r>
      <w:r w:rsidR="001F3FCF" w:rsidRPr="00B31FA4">
        <w:rPr>
          <w:rFonts w:cstheme="minorHAnsi"/>
        </w:rPr>
        <w:t>organizacji ruchu drogowego,</w:t>
      </w:r>
    </w:p>
    <w:p w14:paraId="3CD4BF11" w14:textId="39BE5B8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informacji BIOZ,</w:t>
      </w:r>
    </w:p>
    <w:p w14:paraId="48B2D29B" w14:textId="362B3354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wykonanie wszelkich opracowań niezbędnych do złożenia wniosków oraz uzyskania decyzji o zezwoleniu na realizację inwestycji lub pozwolenia na budowę,</w:t>
      </w:r>
    </w:p>
    <w:p w14:paraId="490CBCEC" w14:textId="77777777" w:rsidR="00F46D61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przedmiaru robót wraz z kosztorysem inwestorskim</w:t>
      </w:r>
      <w:r w:rsidR="00183499" w:rsidRPr="00B31FA4">
        <w:rPr>
          <w:rFonts w:cstheme="minorHAnsi"/>
        </w:rPr>
        <w:t>.</w:t>
      </w:r>
    </w:p>
    <w:p w14:paraId="6DEA39D8" w14:textId="02A6836E" w:rsidR="00947AA2" w:rsidRPr="00B31FA4" w:rsidRDefault="00947AA2" w:rsidP="00F46D61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B31FA4">
        <w:rPr>
          <w:rFonts w:cstheme="minorHAnsi"/>
        </w:rPr>
        <w:t>Do dokumentacji należy dołączyć:</w:t>
      </w:r>
    </w:p>
    <w:p w14:paraId="4DBA0177" w14:textId="67A7A5DE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oświadczenie projektanta oraz oświadczenie sprawdzającego o sporządzeniu projektu budowlanego zgodnie z umową, obowiązującymi przepisami techniczno – budowlanymi, normami, wytycznymi i zasadami wiedzy technicznej oraz że projekt jest kompletny z punktu widzenia celu, któremu ma służyć – dla wszystkich branż</w:t>
      </w:r>
      <w:r w:rsidR="00183499" w:rsidRPr="00B31FA4">
        <w:rPr>
          <w:rFonts w:cstheme="minorHAnsi"/>
        </w:rPr>
        <w:t>,</w:t>
      </w:r>
    </w:p>
    <w:p w14:paraId="73D6FE94" w14:textId="736FF535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kopie uprawnień oraz aktualnych zaświadczeń o przynależności do izby zawodowych projektantów i sprawdzających, kartę uzgodnień międzybranżowych,</w:t>
      </w:r>
    </w:p>
    <w:p w14:paraId="386DAE5B" w14:textId="1F2C3396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wszelkie opracowania, uzgodnienia, postanowienia i decyzje niezbędne do celów projektowych.</w:t>
      </w:r>
    </w:p>
    <w:p w14:paraId="19CD4706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Obowiązkiem Wykonawcy jest uzyskanie wszelkich warunków od gestorów sieci, itp. niezbędnych do opracowania projektów budowlanych. </w:t>
      </w:r>
    </w:p>
    <w:p w14:paraId="732A62A1" w14:textId="07A89A5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Wykonawca, w razie takiej potrzeby będzie również zobowiązany do przygotowania niezbędnych materiałów oraz uzyskania wszelkich decyzji administracyjnych wynikających z ustawy o planowaniu i zagospodarowaniu przestrzennym z dnia 27 marca 2003r. Wykonawca zobowiązany będzie do uzyskania uzgodnień Zespołu ds. Uzgadniania Dokumentacji Projektowych (ZUDP). Wykonawca zobowiązany będzie do uzyskania dla opracowanych projektów budowlanych wszelkich wymaganych przepisami szczególnymi opinii i uzgodnień. </w:t>
      </w:r>
    </w:p>
    <w:p w14:paraId="3C16B632" w14:textId="6A36210B" w:rsidR="001F3FCF" w:rsidRPr="00B31FA4" w:rsidRDefault="001F3FCF" w:rsidP="00F96EA8">
      <w:pPr>
        <w:jc w:val="both"/>
        <w:rPr>
          <w:rFonts w:cstheme="minorHAnsi"/>
          <w:b/>
        </w:rPr>
      </w:pPr>
      <w:r w:rsidRPr="00B31FA4">
        <w:rPr>
          <w:rFonts w:cstheme="minorHAnsi"/>
        </w:rPr>
        <w:lastRenderedPageBreak/>
        <w:t xml:space="preserve">Projekty budowlane zostaną poddane analizie przez zespół inspektorów branżowych ZDMiKP w Bydgoszczy, w tym celu do obowiązku wykonawcy oprócz opracowania w/w projektów należy również przygotowanie prezentacji tematu Zamawiającemu. </w:t>
      </w:r>
    </w:p>
    <w:p w14:paraId="4E5871CE" w14:textId="399EA599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wykonawczych i specyfikacji technicznych wykonania i odbioru robót budowlanych </w:t>
      </w:r>
    </w:p>
    <w:p w14:paraId="3212DD47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Obowiązkiem Wykonawcy jest opracowanie projektów wykonawczych i specyfikacji technicznych wykonania i odbioru robót, wytycznych realizacyjnych dla opisanego zadania inwestycyjnego oraz kosztorysów inwestorskich.</w:t>
      </w:r>
    </w:p>
    <w:p w14:paraId="18BFC6C9" w14:textId="2AAD8FE9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Projekty wykonawcze powinny zostać opracowane dla wskazanych branż odrębnie (branża </w:t>
      </w:r>
      <w:r w:rsidR="00C13A4A" w:rsidRPr="00B31FA4">
        <w:rPr>
          <w:rFonts w:cstheme="minorHAnsi"/>
        </w:rPr>
        <w:t>budowa oświetlenia, likwidacja oświetlenia</w:t>
      </w:r>
      <w:r w:rsidRPr="00B31FA4">
        <w:rPr>
          <w:rFonts w:cstheme="minorHAnsi"/>
        </w:rPr>
        <w:t>, stała i czasowa organizacja ruchu)</w:t>
      </w:r>
      <w:r w:rsidR="00C13A4A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Zamawiający będzie wymagał, aby opracowania wykonywane na tym etapie zostały skompletowane wg zasady: wspólna teczka dla projektu wykonawczego, specyfikacji technicznych dla każdej z lokalizacji przejścia osobno (wszystkie branże dotyczące wybrane</w:t>
      </w:r>
      <w:r w:rsidR="00087B92" w:rsidRPr="00B31FA4">
        <w:rPr>
          <w:rFonts w:cstheme="minorHAnsi"/>
        </w:rPr>
        <w:t xml:space="preserve">j szafy oświetleniowej </w:t>
      </w:r>
      <w:r w:rsidRPr="00B31FA4">
        <w:rPr>
          <w:rFonts w:cstheme="minorHAnsi"/>
        </w:rPr>
        <w:t xml:space="preserve">w jednej teczce). </w:t>
      </w:r>
    </w:p>
    <w:p w14:paraId="1039C645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Wykonawca zobowiązany jest do sporządzenia plansz zbiorczych uzbrojenia istniejącego i projektowanego (wersja kolorowa) dla zadania inwestycyjnego.</w:t>
      </w:r>
    </w:p>
    <w:p w14:paraId="5DE786CA" w14:textId="224403DB" w:rsidR="00F96EA8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Projekty wykonawcze, specyfikacje techniczne wykonania i odbioru robót oraz kosztorysy zostaną poddane analizie odbioru przez ZDMiKP w Bydgoszczy</w:t>
      </w:r>
      <w:r w:rsidR="00980D93" w:rsidRPr="00B31FA4">
        <w:rPr>
          <w:rFonts w:cstheme="minorHAnsi"/>
        </w:rPr>
        <w:t xml:space="preserve"> w terminie nie dłuższym niż 21 dni od otrzymania dokumentacji</w:t>
      </w:r>
      <w:r w:rsidRPr="00B31FA4">
        <w:rPr>
          <w:rFonts w:cstheme="minorHAnsi"/>
        </w:rPr>
        <w:t>.</w:t>
      </w:r>
    </w:p>
    <w:p w14:paraId="7B394D2B" w14:textId="2D562C20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Forma opracowania</w:t>
      </w:r>
    </w:p>
    <w:p w14:paraId="605255B1" w14:textId="44C6D9FB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Wszystkie opracowania należy wykonać w formie tradycyjnej (papierowej) oraz</w:t>
      </w:r>
      <w:r w:rsidR="00F96EA8" w:rsidRPr="00B31FA4">
        <w:rPr>
          <w:rFonts w:cstheme="minorHAnsi"/>
        </w:rPr>
        <w:t xml:space="preserve"> </w:t>
      </w:r>
      <w:r w:rsidRPr="00B31FA4">
        <w:rPr>
          <w:rFonts w:cstheme="minorHAnsi"/>
        </w:rPr>
        <w:t>elektronicznej w formatach otwartych do edycji *.doc, *.xls, *.ppt, *.dgn lub *.dwg (grafika) oraz dodatkowo całość opracowania w formacie *.pdf.  Należy dołączyć 2 egzemplarze w wersji elektronicznej na płytach DVD</w:t>
      </w:r>
      <w:r w:rsidR="003951A0" w:rsidRPr="00B31FA4">
        <w:rPr>
          <w:rFonts w:cstheme="minorHAnsi"/>
        </w:rPr>
        <w:t xml:space="preserve"> oraz nośnik danych typu pendrive</w:t>
      </w:r>
      <w:r w:rsidRPr="00B31FA4">
        <w:rPr>
          <w:rFonts w:cstheme="minorHAnsi"/>
        </w:rPr>
        <w:t>.</w:t>
      </w:r>
    </w:p>
    <w:p w14:paraId="51AE56DE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Należy wykonać następujące liczby egzemplarzy w formie tradycyjnej:</w:t>
      </w:r>
    </w:p>
    <w:p w14:paraId="28476E3F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budowlane – 3 egzemplarze,</w:t>
      </w:r>
    </w:p>
    <w:p w14:paraId="2E977C1B" w14:textId="7FF80D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wykonawcze</w:t>
      </w:r>
      <w:r w:rsidR="00481081" w:rsidRPr="00B31FA4">
        <w:rPr>
          <w:rFonts w:cstheme="minorHAnsi"/>
        </w:rPr>
        <w:t xml:space="preserve"> wraz z informacją BIOZ</w:t>
      </w:r>
      <w:r w:rsidRPr="00B31FA4">
        <w:rPr>
          <w:rFonts w:cstheme="minorHAnsi"/>
        </w:rPr>
        <w:t>, specyfikacje techniczne wykonania i odbioru robót – 3 egzemplarze,</w:t>
      </w:r>
    </w:p>
    <w:p w14:paraId="0480F21A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Przedmiary robót i kosztorysy inwestorskie – 2 egz. </w:t>
      </w:r>
    </w:p>
    <w:p w14:paraId="589042E0" w14:textId="7D388EEC" w:rsidR="00D30291" w:rsidRPr="00B31FA4" w:rsidRDefault="001F3FCF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Wykonawca realizuje prace projektowe zgodnie z OPZ oraz na zasadach określonych </w:t>
      </w:r>
      <w:r w:rsidRPr="00B31FA4">
        <w:rPr>
          <w:rFonts w:cstheme="minorHAnsi"/>
          <w:iCs/>
        </w:rPr>
        <w:br/>
        <w:t>w Umowie.</w:t>
      </w:r>
    </w:p>
    <w:p w14:paraId="59E20D90" w14:textId="2FA13AC8" w:rsidR="001831BB" w:rsidRPr="00B31FA4" w:rsidRDefault="001831BB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na wniosek wybranego Wykonawcy udostępni zaktualizowany audyt efektywności energetycznej oświetlenia z 2024 r.</w:t>
      </w:r>
    </w:p>
    <w:p w14:paraId="57BB3A13" w14:textId="77777777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b/>
          <w:bCs/>
          <w:kern w:val="0"/>
          <w:lang w:eastAsia="pl-PL"/>
          <w14:ligatures w14:val="none"/>
        </w:rPr>
        <w:t>Zakres branży drogowej</w:t>
      </w:r>
    </w:p>
    <w:p w14:paraId="44AFC258" w14:textId="091659F1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ind w:left="56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kern w:val="0"/>
          <w:lang w:eastAsia="pl-PL"/>
          <w14:ligatures w14:val="none"/>
        </w:rPr>
        <w:t xml:space="preserve">Zakres branży drogowej w niniejszym zadaniu związany jest wyłącznie z zaprojektowaniem odbudowy nawierzchni istniejących w dotychczasowej jej technologii wykonania w miejscach gdzie dokonywano podczas realizacji wykopów otwartych pod lokalizację kabli energetycznych, złączy pomiarowych lub </w:t>
      </w:r>
      <w:r w:rsidR="00DF1E4B" w:rsidRPr="00B31FA4">
        <w:rPr>
          <w:rFonts w:eastAsia="Times New Roman" w:cstheme="minorHAnsi"/>
          <w:kern w:val="0"/>
          <w:lang w:eastAsia="pl-PL"/>
          <w14:ligatures w14:val="none"/>
        </w:rPr>
        <w:t xml:space="preserve">wybudowaniu/likwidacji </w:t>
      </w:r>
      <w:r w:rsidRPr="00B31FA4">
        <w:rPr>
          <w:rFonts w:eastAsia="Times New Roman" w:cstheme="minorHAnsi"/>
          <w:kern w:val="0"/>
          <w:lang w:eastAsia="pl-PL"/>
          <w14:ligatures w14:val="none"/>
        </w:rPr>
        <w:t>fundamentów słupów oświetleniowych.</w:t>
      </w:r>
    </w:p>
    <w:p w14:paraId="25BF82D6" w14:textId="77777777" w:rsidR="00AD4F7D" w:rsidRPr="00B31FA4" w:rsidRDefault="00AD4F7D" w:rsidP="00AD4F7D">
      <w:pPr>
        <w:pStyle w:val="Greg-wypunktkreska"/>
        <w:numPr>
          <w:ilvl w:val="0"/>
          <w:numId w:val="0"/>
        </w:numPr>
        <w:spacing w:after="60"/>
        <w:ind w:left="567"/>
        <w:contextualSpacing w:val="0"/>
        <w:rPr>
          <w:rFonts w:asciiTheme="minorHAnsi" w:hAnsiTheme="minorHAnsi" w:cstheme="minorHAnsi"/>
          <w:sz w:val="22"/>
        </w:rPr>
      </w:pPr>
      <w:r w:rsidRPr="00B31FA4">
        <w:rPr>
          <w:rFonts w:asciiTheme="minorHAnsi" w:hAnsiTheme="minorHAnsi" w:cstheme="minorHAnsi"/>
          <w:sz w:val="22"/>
        </w:rPr>
        <w:t xml:space="preserve">W przypadku konieczności naruszenia konstrukcji infrastruktury drogowej Zamawiający oczekuje jej odtworzenia. </w:t>
      </w:r>
    </w:p>
    <w:p w14:paraId="07B754A3" w14:textId="77777777" w:rsidR="00AD4F7D" w:rsidRPr="00B31FA4" w:rsidRDefault="00AD4F7D" w:rsidP="00F96EA8">
      <w:pPr>
        <w:jc w:val="both"/>
        <w:rPr>
          <w:rFonts w:cstheme="minorHAnsi"/>
          <w:iCs/>
        </w:rPr>
      </w:pPr>
    </w:p>
    <w:p w14:paraId="5AD0E5F5" w14:textId="59CC2039" w:rsidR="00947AA2" w:rsidRPr="00B31FA4" w:rsidRDefault="00947AA2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  <w:iCs/>
        </w:rPr>
      </w:pPr>
      <w:r w:rsidRPr="00B31FA4">
        <w:rPr>
          <w:rFonts w:cstheme="minorHAnsi"/>
          <w:b/>
          <w:bCs/>
          <w:iCs/>
        </w:rPr>
        <w:lastRenderedPageBreak/>
        <w:t>Pozostałe wymagania dotyczące wykonania dokumentacji.</w:t>
      </w:r>
    </w:p>
    <w:p w14:paraId="71415804" w14:textId="77777777" w:rsidR="004833B3" w:rsidRPr="00B31FA4" w:rsidRDefault="004833B3" w:rsidP="004833B3">
      <w:pPr>
        <w:pStyle w:val="Akapitzlist"/>
        <w:ind w:left="1080"/>
        <w:jc w:val="both"/>
        <w:rPr>
          <w:rFonts w:cstheme="minorHAnsi"/>
          <w:b/>
          <w:bCs/>
          <w:iCs/>
        </w:rPr>
      </w:pPr>
    </w:p>
    <w:p w14:paraId="2AEA4855" w14:textId="72DA80B8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Dokumentacja projektowa w swojej treści musi być zgodna z ustawą Prawo zamówień publicznych. Nie można określać technologii robót, materiałów, maszyn i urządzeń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 xml:space="preserve">w sposób utrudniający uczciwą konkurencję. Roboty budowlane, materiały, technologie, sprzęt oraz wyroby budowlane ujęte w dokumentacji opisującej zamierzenie inwestycyjne należy opisać za pomocą aktualnie obowiązujących w Polsce norm lub poprzez dokładny opis wskazujący wymagania funkcjonalne. </w:t>
      </w:r>
    </w:p>
    <w:p w14:paraId="36F430A3" w14:textId="536EBF7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Dokumentacja powinna określać parametry techniczne i funkcjonalne przyjętych rozwiązań materiałowych, wybranej technologii, maszyn, urządzeń i materiałów przy czym wymogi te nie mogą naruszać zasad uczciwej konkurencji.</w:t>
      </w:r>
    </w:p>
    <w:p w14:paraId="3ABB2360" w14:textId="43890901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 dokumentacji projektowej oraz specyfikacji technicznej wykonania i odbioru robót niedozwolone jest określanie materiałów, urządzeń lub technologii za pomocą znaków towarowych (nazw producentów), patentów lub pochodzenia. Zamawiający dopuszcza wskazanie w dokumentacji projektowej na znak towarowy, patent lub pochodzenie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>z uzasadnionych względów technologicznych, ekonomicznych, organizacyjnych, jeżeli taki obowiązek wynika z odrębnych przepisów. Takiemu wskazaniu powinien towarzyszyć dopisek, że dopuszcza się rozwiązania równoważne wraz ze wskazaniem kryteriów oceny równoważności. W takim przypadku jednostka projektowa zobowiązana jest do przedstawienia uzasadnienia.</w:t>
      </w:r>
    </w:p>
    <w:p w14:paraId="3848E3E8" w14:textId="5126F400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Należy zapewnić sprawdzenie poszczególnych projektów przez osoby posiadające odpowiednie uprawnienia.</w:t>
      </w:r>
    </w:p>
    <w:p w14:paraId="5F5C0070" w14:textId="6653350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Dokumentację projektową należy odpowiednio skompletować w oddzielnych teczkach.</w:t>
      </w:r>
    </w:p>
    <w:p w14:paraId="6789BBA0" w14:textId="67010D7A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informuje, że po przekazaniu mu dokumentacji nie będzie ona wydawana Wykonawcy. O wszelkich zmianach w dokumentacji Wykonawca pisemnie poinformuje Zamawiającego, a zmiany te będą wprowadzane przez Wykonawcę w siedzibie Zamawiającego w obecności koordynatora umowy lub w formie suplementu sporządzonego w formie i ilości wskazanej dla zmienianego opracowania.</w:t>
      </w:r>
    </w:p>
    <w:p w14:paraId="29EFDB64" w14:textId="193AE773" w:rsidR="00947AA2" w:rsidRPr="00B31FA4" w:rsidRDefault="00947AA2" w:rsidP="00947AA2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Wszystkie odstępstwa od wskazanych w niniejszym opracowaniu wytycznych wymagają pisemnej zgody Zamawiającego pod rygorem odmowy przez Zamawiającego odbioru przedmiotowej dokumentacji.</w:t>
      </w:r>
    </w:p>
    <w:p w14:paraId="69FFED9F" w14:textId="77777777" w:rsidR="00E41B0F" w:rsidRPr="00B31FA4" w:rsidRDefault="00E41B0F" w:rsidP="003946B2">
      <w:pPr>
        <w:pStyle w:val="Akapitzlist"/>
        <w:ind w:left="0"/>
        <w:rPr>
          <w:rFonts w:cstheme="minorHAnsi"/>
        </w:rPr>
      </w:pPr>
    </w:p>
    <w:p w14:paraId="0057A17B" w14:textId="0AFECC14" w:rsidR="0078480B" w:rsidRPr="00B31FA4" w:rsidRDefault="00807474" w:rsidP="00807474">
      <w:pPr>
        <w:ind w:firstLine="708"/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V</w:t>
      </w:r>
      <w:r w:rsidR="0078480B" w:rsidRPr="00B31FA4">
        <w:rPr>
          <w:rFonts w:cstheme="minorHAnsi"/>
          <w:b/>
          <w:bCs/>
        </w:rPr>
        <w:t>.</w:t>
      </w:r>
      <w:r w:rsidR="0078480B" w:rsidRPr="00B31FA4">
        <w:rPr>
          <w:rFonts w:cstheme="minorHAnsi"/>
          <w:b/>
          <w:bCs/>
        </w:rPr>
        <w:tab/>
        <w:t>CZĘŚĆ INFORMACYJNA.</w:t>
      </w:r>
    </w:p>
    <w:p w14:paraId="3CDA97BE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 Informacje ogólne.</w:t>
      </w:r>
    </w:p>
    <w:p w14:paraId="28FC265F" w14:textId="6ACC1FAF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Dla działek, dla których właścicielem, trwałym zarządcą, użytkownikiem wieczystym lub dzierżawcą, jest inny podmiot niż Miasto Bydgoszcz lub Skarb Państwa, Wykonawca wraz z wnioskiem przekaże Zamawiającemu pisemne zgody właścicieli lub zarządców tych działek na lokalizację na ich terenie obiektów budowlanych w rozumieniu ustawy Prawo budowlane.</w:t>
      </w:r>
    </w:p>
    <w:p w14:paraId="32B58FB6" w14:textId="3CCE44D3" w:rsidR="0078480B" w:rsidRPr="00B31FA4" w:rsidRDefault="0078480B" w:rsidP="00807474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1.2. Zamawiający przekaże Wykonawcy upoważnienie (pełnomocnictwo) do reprezentowania i występowania w imieniu Zamawiającego w sprawach dotyczących projektowania, w tym uzyskania decyzji zezwalającej na wykonanie robót budowlanych, na jej pisemny wniosek.</w:t>
      </w:r>
    </w:p>
    <w:p w14:paraId="293A4280" w14:textId="71004720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1.3. W trakcie trwania postępowania o udzielenie zamówienia na realizację robót budowlanych dla przedmiotowego zadania Wykonawca udzieli Zamawiającemu odpowiedzi na pytania, wyjaśnień, informacji odnośnie wykonanego przedmiotu umowy.</w:t>
      </w:r>
    </w:p>
    <w:p w14:paraId="3B15DFB9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lastRenderedPageBreak/>
        <w:t>1.4. Wykonawca zawrze umowę ubezpieczenia odpowiedzialności cywilnej, obejmującej odpowiedzialność Wykonawcy za wady w projektach i uchybieniach w sprawowaniu nadzoru autorskiego.</w:t>
      </w:r>
    </w:p>
    <w:p w14:paraId="6600BCEF" w14:textId="77777777" w:rsidR="0078480B" w:rsidRPr="00B31FA4" w:rsidRDefault="0078480B" w:rsidP="002D398E">
      <w:pPr>
        <w:pStyle w:val="Akapitzlist"/>
        <w:ind w:left="0"/>
        <w:jc w:val="both"/>
        <w:rPr>
          <w:rFonts w:cstheme="minorHAnsi"/>
        </w:rPr>
      </w:pPr>
    </w:p>
    <w:sectPr w:rsidR="0078480B" w:rsidRPr="00B31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702C9" w14:textId="77777777" w:rsidR="003C6BA7" w:rsidRDefault="003C6BA7" w:rsidP="00356D23">
      <w:pPr>
        <w:spacing w:after="0" w:line="240" w:lineRule="auto"/>
      </w:pPr>
      <w:r>
        <w:separator/>
      </w:r>
    </w:p>
  </w:endnote>
  <w:endnote w:type="continuationSeparator" w:id="0">
    <w:p w14:paraId="5A6B1B8A" w14:textId="77777777" w:rsidR="003C6BA7" w:rsidRDefault="003C6BA7" w:rsidP="00356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D558B" w14:textId="77777777" w:rsidR="003C6BA7" w:rsidRDefault="003C6BA7" w:rsidP="00356D23">
      <w:pPr>
        <w:spacing w:after="0" w:line="240" w:lineRule="auto"/>
      </w:pPr>
      <w:r>
        <w:separator/>
      </w:r>
    </w:p>
  </w:footnote>
  <w:footnote w:type="continuationSeparator" w:id="0">
    <w:p w14:paraId="2D91F5A0" w14:textId="77777777" w:rsidR="003C6BA7" w:rsidRDefault="003C6BA7" w:rsidP="00356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BE99C" w14:textId="5505ED6B" w:rsidR="00356D23" w:rsidRPr="001F3FCF" w:rsidRDefault="00356D23" w:rsidP="00356D23">
    <w:pPr>
      <w:jc w:val="right"/>
    </w:pPr>
    <w:r w:rsidRPr="001F3FCF">
      <w:t xml:space="preserve">Załącznik nr </w:t>
    </w:r>
    <w:r w:rsidR="00B31FA4">
      <w:t>1</w:t>
    </w:r>
    <w:r w:rsidRPr="001F3FCF">
      <w:t xml:space="preserve"> do </w:t>
    </w:r>
    <w:r>
      <w:t>U</w:t>
    </w:r>
    <w:r w:rsidRPr="001F3FCF">
      <w:t>mowy</w:t>
    </w:r>
  </w:p>
  <w:p w14:paraId="5A15C9BE" w14:textId="77777777" w:rsidR="00356D23" w:rsidRDefault="00356D23" w:rsidP="00356D2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198D"/>
    <w:multiLevelType w:val="hybridMultilevel"/>
    <w:tmpl w:val="8C982088"/>
    <w:lvl w:ilvl="0" w:tplc="8222F0E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D6D"/>
    <w:multiLevelType w:val="hybridMultilevel"/>
    <w:tmpl w:val="38D46A8A"/>
    <w:lvl w:ilvl="0" w:tplc="83108B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F64D89"/>
    <w:multiLevelType w:val="hybridMultilevel"/>
    <w:tmpl w:val="EDF459B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C2DEF"/>
    <w:multiLevelType w:val="hybridMultilevel"/>
    <w:tmpl w:val="EAB25554"/>
    <w:lvl w:ilvl="0" w:tplc="04150005">
      <w:start w:val="5"/>
      <w:numFmt w:val="bullet"/>
      <w:pStyle w:val="Greg-wypunktkreska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>
      <w:start w:val="1"/>
      <w:numFmt w:val="bullet"/>
      <w:pStyle w:val="Greg-wypunktkreskapodciecie"/>
      <w:lvlText w:val=""/>
      <w:lvlJc w:val="left"/>
      <w:pPr>
        <w:ind w:left="2157" w:hanging="360"/>
      </w:pPr>
      <w:rPr>
        <w:rFonts w:ascii="Wingdings" w:hAnsi="Wingdings" w:hint="default"/>
      </w:rPr>
    </w:lvl>
    <w:lvl w:ilvl="2" w:tplc="04150005">
      <w:start w:val="1"/>
      <w:numFmt w:val="lowerRoman"/>
      <w:lvlText w:val="%3."/>
      <w:lvlJc w:val="right"/>
      <w:pPr>
        <w:ind w:left="2877" w:hanging="180"/>
      </w:pPr>
    </w:lvl>
    <w:lvl w:ilvl="3" w:tplc="04150001">
      <w:start w:val="1"/>
      <w:numFmt w:val="decimal"/>
      <w:lvlText w:val="%4."/>
      <w:lvlJc w:val="left"/>
      <w:pPr>
        <w:ind w:left="3597" w:hanging="360"/>
      </w:pPr>
    </w:lvl>
    <w:lvl w:ilvl="4" w:tplc="04150003">
      <w:start w:val="1"/>
      <w:numFmt w:val="lowerLetter"/>
      <w:lvlText w:val="%5."/>
      <w:lvlJc w:val="left"/>
      <w:pPr>
        <w:ind w:left="4317" w:hanging="360"/>
      </w:pPr>
    </w:lvl>
    <w:lvl w:ilvl="5" w:tplc="04150005" w:tentative="1">
      <w:start w:val="1"/>
      <w:numFmt w:val="lowerRoman"/>
      <w:lvlText w:val="%6."/>
      <w:lvlJc w:val="right"/>
      <w:pPr>
        <w:ind w:left="5037" w:hanging="180"/>
      </w:pPr>
    </w:lvl>
    <w:lvl w:ilvl="6" w:tplc="04150001" w:tentative="1">
      <w:start w:val="1"/>
      <w:numFmt w:val="decimal"/>
      <w:lvlText w:val="%7."/>
      <w:lvlJc w:val="left"/>
      <w:pPr>
        <w:ind w:left="5757" w:hanging="360"/>
      </w:pPr>
    </w:lvl>
    <w:lvl w:ilvl="7" w:tplc="04150003" w:tentative="1">
      <w:start w:val="1"/>
      <w:numFmt w:val="lowerLetter"/>
      <w:lvlText w:val="%8."/>
      <w:lvlJc w:val="left"/>
      <w:pPr>
        <w:ind w:left="6477" w:hanging="360"/>
      </w:pPr>
    </w:lvl>
    <w:lvl w:ilvl="8" w:tplc="04150005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35DE459C"/>
    <w:multiLevelType w:val="hybridMultilevel"/>
    <w:tmpl w:val="63204952"/>
    <w:lvl w:ilvl="0" w:tplc="81C85F6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110"/>
    <w:multiLevelType w:val="hybridMultilevel"/>
    <w:tmpl w:val="76843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935E6D"/>
    <w:multiLevelType w:val="hybridMultilevel"/>
    <w:tmpl w:val="4FB8BD9C"/>
    <w:lvl w:ilvl="0" w:tplc="83889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F33F1"/>
    <w:multiLevelType w:val="hybridMultilevel"/>
    <w:tmpl w:val="FCE230C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C91A942A">
      <w:start w:val="1"/>
      <w:numFmt w:val="decimal"/>
      <w:lvlText w:val="%2)"/>
      <w:lvlJc w:val="left"/>
      <w:pPr>
        <w:ind w:left="1364" w:hanging="360"/>
      </w:pPr>
      <w:rPr>
        <w:rFonts w:cs="Calibri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2C675BC"/>
    <w:multiLevelType w:val="hybridMultilevel"/>
    <w:tmpl w:val="183E5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B7306"/>
    <w:multiLevelType w:val="hybridMultilevel"/>
    <w:tmpl w:val="285A6510"/>
    <w:lvl w:ilvl="0" w:tplc="427CFD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0BE3E4E"/>
    <w:multiLevelType w:val="hybridMultilevel"/>
    <w:tmpl w:val="1FC068C8"/>
    <w:lvl w:ilvl="0" w:tplc="8432E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F840D9"/>
    <w:multiLevelType w:val="hybridMultilevel"/>
    <w:tmpl w:val="28721E9E"/>
    <w:lvl w:ilvl="0" w:tplc="04150005">
      <w:start w:val="1"/>
      <w:numFmt w:val="lowerLetter"/>
      <w:pStyle w:val="Greg-wypunktlitera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>
      <w:start w:val="1"/>
      <w:numFmt w:val="lowerLetter"/>
      <w:lvlText w:val="%2."/>
      <w:lvlJc w:val="left"/>
      <w:pPr>
        <w:ind w:left="1797" w:hanging="360"/>
      </w:pPr>
    </w:lvl>
    <w:lvl w:ilvl="2" w:tplc="04150005">
      <w:start w:val="1"/>
      <w:numFmt w:val="lowerRoman"/>
      <w:lvlText w:val="%3."/>
      <w:lvlJc w:val="right"/>
      <w:pPr>
        <w:ind w:left="2517" w:hanging="180"/>
      </w:pPr>
    </w:lvl>
    <w:lvl w:ilvl="3" w:tplc="04150001">
      <w:start w:val="1"/>
      <w:numFmt w:val="decimal"/>
      <w:lvlText w:val="%4."/>
      <w:lvlJc w:val="left"/>
      <w:pPr>
        <w:ind w:left="3237" w:hanging="360"/>
      </w:pPr>
    </w:lvl>
    <w:lvl w:ilvl="4" w:tplc="04150003">
      <w:start w:val="1"/>
      <w:numFmt w:val="lowerLetter"/>
      <w:lvlText w:val="%5."/>
      <w:lvlJc w:val="left"/>
      <w:pPr>
        <w:ind w:left="3957" w:hanging="360"/>
      </w:pPr>
    </w:lvl>
    <w:lvl w:ilvl="5" w:tplc="04150005">
      <w:start w:val="1"/>
      <w:numFmt w:val="lowerRoman"/>
      <w:lvlText w:val="%6."/>
      <w:lvlJc w:val="right"/>
      <w:pPr>
        <w:ind w:left="4677" w:hanging="180"/>
      </w:pPr>
    </w:lvl>
    <w:lvl w:ilvl="6" w:tplc="04150001">
      <w:start w:val="1"/>
      <w:numFmt w:val="decimal"/>
      <w:lvlText w:val="%7."/>
      <w:lvlJc w:val="left"/>
      <w:pPr>
        <w:ind w:left="5397" w:hanging="360"/>
      </w:pPr>
    </w:lvl>
    <w:lvl w:ilvl="7" w:tplc="04150003">
      <w:start w:val="1"/>
      <w:numFmt w:val="lowerLetter"/>
      <w:lvlText w:val="%8."/>
      <w:lvlJc w:val="left"/>
      <w:pPr>
        <w:ind w:left="6117" w:hanging="360"/>
      </w:pPr>
    </w:lvl>
    <w:lvl w:ilvl="8" w:tplc="04150005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8767B8A"/>
    <w:multiLevelType w:val="hybridMultilevel"/>
    <w:tmpl w:val="E08E49EA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93FFB"/>
    <w:multiLevelType w:val="hybridMultilevel"/>
    <w:tmpl w:val="E9D664A8"/>
    <w:lvl w:ilvl="0" w:tplc="035E6F7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1513D"/>
    <w:multiLevelType w:val="multilevel"/>
    <w:tmpl w:val="1AB873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1403B8"/>
    <w:multiLevelType w:val="hybridMultilevel"/>
    <w:tmpl w:val="A22CF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D7B0A"/>
    <w:multiLevelType w:val="hybridMultilevel"/>
    <w:tmpl w:val="C5086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B4CC8"/>
    <w:multiLevelType w:val="hybridMultilevel"/>
    <w:tmpl w:val="A816E144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56D46"/>
    <w:multiLevelType w:val="hybridMultilevel"/>
    <w:tmpl w:val="ED44F6E2"/>
    <w:lvl w:ilvl="0" w:tplc="CE4A8060">
      <w:start w:val="1"/>
      <w:numFmt w:val="decimal"/>
      <w:lvlText w:val="%1)"/>
      <w:lvlJc w:val="left"/>
      <w:pPr>
        <w:ind w:left="1854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3781784">
      <w:start w:val="1"/>
      <w:numFmt w:val="decimal"/>
      <w:lvlText w:val="%2)"/>
      <w:lvlJc w:val="left"/>
      <w:pPr>
        <w:ind w:left="257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DFB4C58"/>
    <w:multiLevelType w:val="hybridMultilevel"/>
    <w:tmpl w:val="48402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42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4990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26311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0349432">
    <w:abstractNumId w:val="12"/>
  </w:num>
  <w:num w:numId="5" w16cid:durableId="896818138">
    <w:abstractNumId w:val="8"/>
  </w:num>
  <w:num w:numId="6" w16cid:durableId="3630982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9593514">
    <w:abstractNumId w:val="7"/>
  </w:num>
  <w:num w:numId="8" w16cid:durableId="2144616278">
    <w:abstractNumId w:val="19"/>
  </w:num>
  <w:num w:numId="9" w16cid:durableId="146946487">
    <w:abstractNumId w:val="17"/>
  </w:num>
  <w:num w:numId="10" w16cid:durableId="1825855129">
    <w:abstractNumId w:val="16"/>
  </w:num>
  <w:num w:numId="11" w16cid:durableId="192617892">
    <w:abstractNumId w:val="10"/>
  </w:num>
  <w:num w:numId="12" w16cid:durableId="1142307524">
    <w:abstractNumId w:val="1"/>
  </w:num>
  <w:num w:numId="13" w16cid:durableId="414016145">
    <w:abstractNumId w:val="6"/>
  </w:num>
  <w:num w:numId="14" w16cid:durableId="855461782">
    <w:abstractNumId w:val="3"/>
  </w:num>
  <w:num w:numId="15" w16cid:durableId="1007102170">
    <w:abstractNumId w:val="14"/>
  </w:num>
  <w:num w:numId="16" w16cid:durableId="2029989781">
    <w:abstractNumId w:val="9"/>
  </w:num>
  <w:num w:numId="17" w16cid:durableId="1259631538">
    <w:abstractNumId w:val="2"/>
  </w:num>
  <w:num w:numId="18" w16cid:durableId="675038121">
    <w:abstractNumId w:val="20"/>
  </w:num>
  <w:num w:numId="19" w16cid:durableId="1359552501">
    <w:abstractNumId w:val="0"/>
  </w:num>
  <w:num w:numId="20" w16cid:durableId="1985617369">
    <w:abstractNumId w:val="4"/>
  </w:num>
  <w:num w:numId="21" w16cid:durableId="1786464872">
    <w:abstractNumId w:val="5"/>
  </w:num>
  <w:num w:numId="22" w16cid:durableId="1992713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DA"/>
    <w:rsid w:val="00003DB0"/>
    <w:rsid w:val="000276C1"/>
    <w:rsid w:val="00041904"/>
    <w:rsid w:val="00057A8C"/>
    <w:rsid w:val="00065ADA"/>
    <w:rsid w:val="00081721"/>
    <w:rsid w:val="00085CE7"/>
    <w:rsid w:val="00087B92"/>
    <w:rsid w:val="000D5E69"/>
    <w:rsid w:val="00122226"/>
    <w:rsid w:val="001605B9"/>
    <w:rsid w:val="00161835"/>
    <w:rsid w:val="001639FA"/>
    <w:rsid w:val="00164196"/>
    <w:rsid w:val="001720FF"/>
    <w:rsid w:val="00176836"/>
    <w:rsid w:val="001831BB"/>
    <w:rsid w:val="00183499"/>
    <w:rsid w:val="001A7227"/>
    <w:rsid w:val="001D4262"/>
    <w:rsid w:val="001F3FCF"/>
    <w:rsid w:val="00203D28"/>
    <w:rsid w:val="0023468C"/>
    <w:rsid w:val="00254DEB"/>
    <w:rsid w:val="00255122"/>
    <w:rsid w:val="00260D09"/>
    <w:rsid w:val="00276A5D"/>
    <w:rsid w:val="002864D2"/>
    <w:rsid w:val="002D398E"/>
    <w:rsid w:val="002F6AAB"/>
    <w:rsid w:val="003366CD"/>
    <w:rsid w:val="00356D23"/>
    <w:rsid w:val="00382C0E"/>
    <w:rsid w:val="00384A37"/>
    <w:rsid w:val="003946B2"/>
    <w:rsid w:val="003951A0"/>
    <w:rsid w:val="003A182E"/>
    <w:rsid w:val="003C67A7"/>
    <w:rsid w:val="003C6BA7"/>
    <w:rsid w:val="003D5D8C"/>
    <w:rsid w:val="003E1522"/>
    <w:rsid w:val="00423FC0"/>
    <w:rsid w:val="00456DEE"/>
    <w:rsid w:val="004724ED"/>
    <w:rsid w:val="00475E6A"/>
    <w:rsid w:val="00480E97"/>
    <w:rsid w:val="00481081"/>
    <w:rsid w:val="004833B3"/>
    <w:rsid w:val="004D6C59"/>
    <w:rsid w:val="004E5C5D"/>
    <w:rsid w:val="005250D8"/>
    <w:rsid w:val="00526E7E"/>
    <w:rsid w:val="00534A7B"/>
    <w:rsid w:val="005433B4"/>
    <w:rsid w:val="00544F9F"/>
    <w:rsid w:val="005963AA"/>
    <w:rsid w:val="005972B0"/>
    <w:rsid w:val="005A612A"/>
    <w:rsid w:val="005B0A51"/>
    <w:rsid w:val="005D08A0"/>
    <w:rsid w:val="005E4F61"/>
    <w:rsid w:val="005F3F5E"/>
    <w:rsid w:val="005F6D82"/>
    <w:rsid w:val="00625204"/>
    <w:rsid w:val="00627058"/>
    <w:rsid w:val="00645F36"/>
    <w:rsid w:val="006626BC"/>
    <w:rsid w:val="0067313E"/>
    <w:rsid w:val="00676D28"/>
    <w:rsid w:val="006875FC"/>
    <w:rsid w:val="00693115"/>
    <w:rsid w:val="006B347C"/>
    <w:rsid w:val="006B69C3"/>
    <w:rsid w:val="006C3BC2"/>
    <w:rsid w:val="006C56D1"/>
    <w:rsid w:val="006E21D5"/>
    <w:rsid w:val="00700139"/>
    <w:rsid w:val="00712CF2"/>
    <w:rsid w:val="00740CB3"/>
    <w:rsid w:val="00746694"/>
    <w:rsid w:val="0078480B"/>
    <w:rsid w:val="007B2FE9"/>
    <w:rsid w:val="007E127C"/>
    <w:rsid w:val="007F7C15"/>
    <w:rsid w:val="00807474"/>
    <w:rsid w:val="00822243"/>
    <w:rsid w:val="00832A2F"/>
    <w:rsid w:val="00836637"/>
    <w:rsid w:val="0084629F"/>
    <w:rsid w:val="00892C85"/>
    <w:rsid w:val="008A21F3"/>
    <w:rsid w:val="008A5330"/>
    <w:rsid w:val="008C11EE"/>
    <w:rsid w:val="009069B1"/>
    <w:rsid w:val="00910153"/>
    <w:rsid w:val="00914C29"/>
    <w:rsid w:val="00936395"/>
    <w:rsid w:val="00942A1B"/>
    <w:rsid w:val="00947AA2"/>
    <w:rsid w:val="009513C0"/>
    <w:rsid w:val="00980D93"/>
    <w:rsid w:val="00984240"/>
    <w:rsid w:val="009C0F66"/>
    <w:rsid w:val="009C5D08"/>
    <w:rsid w:val="00A166A7"/>
    <w:rsid w:val="00A26BC3"/>
    <w:rsid w:val="00A62EA8"/>
    <w:rsid w:val="00A63DC3"/>
    <w:rsid w:val="00A861B1"/>
    <w:rsid w:val="00AD4F7D"/>
    <w:rsid w:val="00B2793C"/>
    <w:rsid w:val="00B31FA4"/>
    <w:rsid w:val="00B32BA6"/>
    <w:rsid w:val="00B47D10"/>
    <w:rsid w:val="00BA1B1A"/>
    <w:rsid w:val="00BE520F"/>
    <w:rsid w:val="00BF1EFA"/>
    <w:rsid w:val="00BF2E2D"/>
    <w:rsid w:val="00BF5C85"/>
    <w:rsid w:val="00C10F94"/>
    <w:rsid w:val="00C13A4A"/>
    <w:rsid w:val="00C26B4B"/>
    <w:rsid w:val="00C45F20"/>
    <w:rsid w:val="00C52745"/>
    <w:rsid w:val="00C72300"/>
    <w:rsid w:val="00C824A8"/>
    <w:rsid w:val="00C853B2"/>
    <w:rsid w:val="00C92A32"/>
    <w:rsid w:val="00C938DA"/>
    <w:rsid w:val="00CA28EB"/>
    <w:rsid w:val="00CA6785"/>
    <w:rsid w:val="00CB134A"/>
    <w:rsid w:val="00CC2074"/>
    <w:rsid w:val="00CD1BAD"/>
    <w:rsid w:val="00CD681E"/>
    <w:rsid w:val="00CF7EAB"/>
    <w:rsid w:val="00D165CF"/>
    <w:rsid w:val="00D30291"/>
    <w:rsid w:val="00D50FB2"/>
    <w:rsid w:val="00D60958"/>
    <w:rsid w:val="00D849EC"/>
    <w:rsid w:val="00DF1E4B"/>
    <w:rsid w:val="00E320FB"/>
    <w:rsid w:val="00E41B0F"/>
    <w:rsid w:val="00E54D33"/>
    <w:rsid w:val="00E55CBA"/>
    <w:rsid w:val="00E62062"/>
    <w:rsid w:val="00ED7199"/>
    <w:rsid w:val="00EF4D46"/>
    <w:rsid w:val="00F0357C"/>
    <w:rsid w:val="00F105C2"/>
    <w:rsid w:val="00F2565E"/>
    <w:rsid w:val="00F27B41"/>
    <w:rsid w:val="00F40BEE"/>
    <w:rsid w:val="00F46D61"/>
    <w:rsid w:val="00F804F3"/>
    <w:rsid w:val="00F96EA8"/>
    <w:rsid w:val="00FA5A4A"/>
    <w:rsid w:val="00FA6703"/>
    <w:rsid w:val="00FD0438"/>
    <w:rsid w:val="00FF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6681"/>
  <w15:chartTrackingRefBased/>
  <w15:docId w15:val="{D5B95EDC-B095-4154-8873-EF02786B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reg-wypunktlitera">
    <w:name w:val="Greg - wypunkt litera"/>
    <w:basedOn w:val="Normalny"/>
    <w:qFormat/>
    <w:rsid w:val="001F3FCF"/>
    <w:pPr>
      <w:numPr>
        <w:numId w:val="1"/>
      </w:numPr>
      <w:spacing w:after="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D30291"/>
    <w:pPr>
      <w:ind w:left="720"/>
      <w:contextualSpacing/>
    </w:p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rsid w:val="00E55CBA"/>
  </w:style>
  <w:style w:type="paragraph" w:styleId="Nagwek">
    <w:name w:val="header"/>
    <w:basedOn w:val="Normalny"/>
    <w:link w:val="Nagwek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23"/>
  </w:style>
  <w:style w:type="paragraph" w:styleId="Stopka">
    <w:name w:val="footer"/>
    <w:basedOn w:val="Normalny"/>
    <w:link w:val="Stopka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23"/>
  </w:style>
  <w:style w:type="character" w:styleId="Odwoaniedokomentarza">
    <w:name w:val="annotation reference"/>
    <w:basedOn w:val="Domylnaczcionkaakapitu"/>
    <w:uiPriority w:val="99"/>
    <w:semiHidden/>
    <w:unhideWhenUsed/>
    <w:rsid w:val="00F96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6E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E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EA8"/>
    <w:rPr>
      <w:b/>
      <w:bCs/>
      <w:sz w:val="20"/>
      <w:szCs w:val="20"/>
    </w:rPr>
  </w:style>
  <w:style w:type="paragraph" w:customStyle="1" w:styleId="Greg-wypunktkreska">
    <w:name w:val="Greg - wypunkt kreska"/>
    <w:basedOn w:val="Normalny"/>
    <w:qFormat/>
    <w:rsid w:val="005A612A"/>
    <w:pPr>
      <w:numPr>
        <w:numId w:val="14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Greg-wypunktkreskapodciecie">
    <w:name w:val="Greg - wypunkt kreska podciecie"/>
    <w:basedOn w:val="Greg-wypunktkreska"/>
    <w:qFormat/>
    <w:rsid w:val="005A612A"/>
    <w:pPr>
      <w:numPr>
        <w:ilvl w:val="1"/>
      </w:numPr>
      <w:tabs>
        <w:tab w:val="num" w:pos="360"/>
      </w:tabs>
    </w:pPr>
  </w:style>
  <w:style w:type="paragraph" w:styleId="Poprawka">
    <w:name w:val="Revision"/>
    <w:hidden/>
    <w:uiPriority w:val="99"/>
    <w:semiHidden/>
    <w:rsid w:val="00947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BD2DD-43BE-43E8-AF93-E0CED76E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2010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Radzimski</dc:creator>
  <cp:keywords/>
  <dc:description/>
  <cp:lastModifiedBy>Edyta Radzieja</cp:lastModifiedBy>
  <cp:revision>35</cp:revision>
  <dcterms:created xsi:type="dcterms:W3CDTF">2025-03-03T10:38:00Z</dcterms:created>
  <dcterms:modified xsi:type="dcterms:W3CDTF">2025-03-31T06:06:00Z</dcterms:modified>
</cp:coreProperties>
</file>