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50" w:rsidRDefault="00C2282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Zapotrzebowanie na okres 12 miesięcy (od 01.01.2025 r. do 31.12.2025 r.).</w:t>
      </w:r>
    </w:p>
    <w:p w:rsidR="00AE5550" w:rsidRDefault="00C22829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AE5550" w:rsidRDefault="00AE5550" w:rsidP="00D72C36">
      <w:pPr>
        <w:pStyle w:val="Default"/>
        <w:spacing w:line="28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p w:rsidR="00AE5550" w:rsidRDefault="00C22829" w:rsidP="00D72C36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Opis przedmiotu </w:t>
      </w:r>
      <w:r w:rsidR="0087024C">
        <w:rPr>
          <w:sz w:val="22"/>
          <w:szCs w:val="22"/>
        </w:rPr>
        <w:t>zamówienia</w:t>
      </w:r>
      <w:bookmarkStart w:id="0" w:name="_GoBack"/>
      <w:bookmarkEnd w:id="0"/>
      <w:r>
        <w:rPr>
          <w:sz w:val="22"/>
          <w:szCs w:val="22"/>
        </w:rPr>
        <w:t>.</w:t>
      </w:r>
    </w:p>
    <w:p w:rsidR="00AE5550" w:rsidRDefault="00AE5550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9138"/>
      </w:tblGrid>
      <w:tr w:rsidR="00AE5550" w:rsidTr="00C22829">
        <w:trPr>
          <w:trHeight w:val="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50" w:rsidRDefault="00C2282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50" w:rsidRDefault="00C22829">
            <w:pPr>
              <w:spacing w:after="0" w:line="240" w:lineRule="exact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Towar</w:t>
            </w:r>
          </w:p>
        </w:tc>
      </w:tr>
      <w:tr w:rsidR="00AE5550" w:rsidTr="00C22829">
        <w:trPr>
          <w:trHeight w:val="26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50" w:rsidRDefault="00C2282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50" w:rsidRDefault="00C22829">
            <w:pPr>
              <w:spacing w:after="0" w:line="240" w:lineRule="exact"/>
            </w:pPr>
            <w:r>
              <w:rPr>
                <w:b/>
                <w:bCs/>
                <w:color w:val="000000"/>
              </w:rPr>
              <w:t>konserwa turystyczna typu mielonka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  <w:t>• konserwa turystyczna, typu mielonka - produkt spożywczy wyprodukowany z surowców spełniających wymagania jakościowe określone w obowiązujących przepisach prawnych, sporządzony z mięsa wieprzowego (dozwolony dodatek mięsa mechanicznie oddzielonego, białek i preparatów białkowych), skrobi i przypraw, utrwalony przez sterylizację (zapewniającą trwałość i bezpieczeństwo zdrowotne,</w:t>
            </w:r>
            <w:r>
              <w:rPr>
                <w:color w:val="000000"/>
              </w:rPr>
              <w:br/>
              <w:t>• zawartość konserwy powinna stanowić jedną całość o kształcie zastosowanego opakowania,</w:t>
            </w:r>
            <w:r>
              <w:rPr>
                <w:color w:val="000000"/>
              </w:rPr>
              <w:br/>
              <w:t>• produkt powinien być wyprodukowany z surowców mięsnych drobno rozdrobnionych i średnio rozdrobnionych, zawartość mięsa w produkcie powinna wynosić co najmniej 50 %</w:t>
            </w:r>
            <w:r>
              <w:rPr>
                <w:color w:val="000000"/>
              </w:rPr>
              <w:br/>
              <w:t>• w przypadku opakowania blaszanego wyposażone w zawleczkę do otwierania (</w:t>
            </w:r>
            <w:proofErr w:type="spellStart"/>
            <w:r>
              <w:rPr>
                <w:color w:val="000000"/>
              </w:rPr>
              <w:t>samootwieracz</w:t>
            </w:r>
            <w:proofErr w:type="spellEnd"/>
            <w:r>
              <w:rPr>
                <w:color w:val="000000"/>
              </w:rPr>
              <w:t>),</w:t>
            </w:r>
            <w:r>
              <w:rPr>
                <w:color w:val="000000"/>
              </w:rPr>
              <w:br/>
              <w:t>• masa netto 290-300 g</w:t>
            </w:r>
          </w:p>
        </w:tc>
      </w:tr>
      <w:tr w:rsidR="00AE5550" w:rsidTr="00C22829">
        <w:trPr>
          <w:trHeight w:val="30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50" w:rsidRDefault="00C2282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5550" w:rsidRDefault="00C22829">
            <w:pPr>
              <w:spacing w:after="0" w:line="240" w:lineRule="exact"/>
            </w:pPr>
            <w:r>
              <w:rPr>
                <w:rFonts w:cs="Arial"/>
                <w:b/>
                <w:bCs/>
              </w:rPr>
              <w:t>konserwa tłuszczowo-mięsna: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</w:rPr>
              <w:t>• konserwa tłuszczowo-mięsna o zawartości mięsa min. 70%,</w:t>
            </w:r>
            <w:r>
              <w:rPr>
                <w:rFonts w:cs="Arial"/>
              </w:rPr>
              <w:br/>
              <w:t>• w opakowaniu aluminiowym, blaszanym lub szklanym,</w:t>
            </w:r>
            <w:r>
              <w:rPr>
                <w:rFonts w:cs="Arial"/>
              </w:rPr>
              <w:br/>
              <w:t>• w przypadku opakowania blaszanego wyposażone w zawleczkę do otwierania (</w:t>
            </w:r>
            <w:proofErr w:type="spellStart"/>
            <w:r>
              <w:rPr>
                <w:rFonts w:cs="Arial"/>
              </w:rPr>
              <w:t>samootwieracz</w:t>
            </w:r>
            <w:proofErr w:type="spellEnd"/>
            <w:r>
              <w:rPr>
                <w:rFonts w:cs="Arial"/>
              </w:rPr>
              <w:t>),</w:t>
            </w:r>
            <w:r>
              <w:rPr>
                <w:rFonts w:cs="Arial"/>
              </w:rPr>
              <w:br/>
              <w:t>• masa netto do 800g</w:t>
            </w:r>
          </w:p>
        </w:tc>
      </w:tr>
      <w:tr w:rsidR="00AE5550" w:rsidTr="00C22829">
        <w:trPr>
          <w:trHeight w:val="30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50" w:rsidRDefault="00C22829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5550" w:rsidRDefault="00C22829">
            <w:pPr>
              <w:spacing w:after="0" w:line="240" w:lineRule="exact"/>
            </w:pPr>
            <w:r>
              <w:rPr>
                <w:rFonts w:cs="Arial"/>
                <w:b/>
                <w:bCs/>
              </w:rPr>
              <w:t>paprykarz szczeciński: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</w:rPr>
              <w:t xml:space="preserve">• skład: ryba minimum 28%, ryż, warzywa, przyprawy, cebula, olej roślinny, koncentrat pomidorowy i innych dodatków, </w:t>
            </w:r>
            <w:r>
              <w:rPr>
                <w:rFonts w:cs="Arial"/>
              </w:rPr>
              <w:br/>
              <w:t>• opakowanie jednostkowe stanowi puszka metalowa wyposażona w zawleczkę do otwierania (</w:t>
            </w:r>
            <w:proofErr w:type="spellStart"/>
            <w:r>
              <w:rPr>
                <w:rFonts w:cs="Arial"/>
              </w:rPr>
              <w:t>samootwieracz</w:t>
            </w:r>
            <w:proofErr w:type="spellEnd"/>
            <w:r>
              <w:rPr>
                <w:rFonts w:cs="Arial"/>
              </w:rPr>
              <w:t>)</w:t>
            </w:r>
            <w:r>
              <w:rPr>
                <w:rFonts w:cs="Arial"/>
              </w:rPr>
              <w:br/>
              <w:t>• masa netto  300-330g</w:t>
            </w:r>
          </w:p>
        </w:tc>
      </w:tr>
      <w:tr w:rsidR="00AE5550" w:rsidTr="00C22829">
        <w:trPr>
          <w:trHeight w:val="300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50" w:rsidRDefault="00C22829">
            <w:pPr>
              <w:spacing w:after="0" w:line="240" w:lineRule="exact"/>
            </w:pPr>
            <w:r>
              <w:t>Termin przydatności do spożycia min. 12 miesięcy od dnia dostawy.</w:t>
            </w:r>
          </w:p>
        </w:tc>
      </w:tr>
    </w:tbl>
    <w:p w:rsidR="00AE5550" w:rsidRDefault="00AE555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D72C36" w:rsidRDefault="00D72C36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D72C36" w:rsidRDefault="00D72C36" w:rsidP="00D72C36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realizowane w terminie do 3 dni od dnia złożenia zamówienia.</w:t>
      </w:r>
    </w:p>
    <w:p w:rsidR="00D72C36" w:rsidRDefault="00D72C36" w:rsidP="00D72C36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Częstotliwość dostaw 1 raz na miesiąc, w dni robocze (od poniedziałku do czwartku) w godzinach od 8.00 do 12.00. </w:t>
      </w:r>
    </w:p>
    <w:p w:rsidR="00D72C36" w:rsidRPr="00D72C36" w:rsidRDefault="00D72C36" w:rsidP="00D72C36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72C36">
        <w:rPr>
          <w:rFonts w:asciiTheme="minorHAnsi" w:hAnsiTheme="minorHAnsi"/>
          <w:sz w:val="22"/>
          <w:szCs w:val="22"/>
        </w:rPr>
        <w:t xml:space="preserve">Miejsce realizacji dostaw: </w:t>
      </w:r>
      <w:r>
        <w:t>Areszt Śledczy w Warszawie-Białołęce, ul. Ciupagi 1, 03-016 Warszawa - magazyn żywnościowy.</w:t>
      </w:r>
    </w:p>
    <w:sectPr w:rsidR="00D72C36" w:rsidRPr="00D72C36">
      <w:pgSz w:w="11906" w:h="16838"/>
      <w:pgMar w:top="85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79D"/>
    <w:multiLevelType w:val="multilevel"/>
    <w:tmpl w:val="15E2DA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87477B"/>
    <w:multiLevelType w:val="multilevel"/>
    <w:tmpl w:val="EEBC3E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50"/>
    <w:rsid w:val="0087024C"/>
    <w:rsid w:val="00AE5550"/>
    <w:rsid w:val="00C22829"/>
    <w:rsid w:val="00D7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0C328-B791-4175-AEC9-2406B282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paragraph" w:customStyle="1" w:styleId="Tekstpodstawowywcity31">
    <w:name w:val="Tekst podstawowy wcięty 31"/>
    <w:basedOn w:val="Normalny"/>
    <w:qFormat/>
    <w:rsid w:val="00A00EB7"/>
    <w:pPr>
      <w:widowControl w:val="0"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6901-BD0D-4C5C-BF2D-B3692ECB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Piotr Laskus</cp:lastModifiedBy>
  <cp:revision>29</cp:revision>
  <cp:lastPrinted>2023-10-11T05:23:00Z</cp:lastPrinted>
  <dcterms:created xsi:type="dcterms:W3CDTF">2023-11-22T07:20:00Z</dcterms:created>
  <dcterms:modified xsi:type="dcterms:W3CDTF">2024-10-03T09:17:00Z</dcterms:modified>
  <dc:language>pl-PL</dc:language>
</cp:coreProperties>
</file>