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B58ABCA">
      <w:pPr>
        <w:pStyle w:val="5"/>
        <w:spacing w:line="288" w:lineRule="auto"/>
        <w:ind w:right="28"/>
        <w:jc w:val="center"/>
        <w:rPr>
          <w:rFonts w:ascii="Trebuchet MS" w:hAnsi="Trebuchet MS" w:cs="Arial"/>
          <w:b/>
          <w:sz w:val="20"/>
        </w:rPr>
      </w:pPr>
    </w:p>
    <w:p w14:paraId="56EB59F7">
      <w:pPr>
        <w:pStyle w:val="5"/>
        <w:spacing w:line="288" w:lineRule="auto"/>
        <w:ind w:right="28"/>
        <w:jc w:val="right"/>
        <w:rPr>
          <w:rFonts w:hint="default" w:ascii="Trebuchet MS" w:hAnsi="Trebuchet MS"/>
          <w:b/>
          <w:sz w:val="20"/>
        </w:rPr>
      </w:pPr>
      <w:r>
        <w:rPr>
          <w:rFonts w:hint="default" w:ascii="Trebuchet MS" w:hAnsi="Trebuchet MS"/>
          <w:b/>
          <w:sz w:val="20"/>
          <w:lang w:val="pl-PL"/>
        </w:rPr>
        <w:t>Z</w:t>
      </w:r>
      <w:r>
        <w:rPr>
          <w:rFonts w:hint="default" w:ascii="Trebuchet MS" w:hAnsi="Trebuchet MS"/>
          <w:b/>
          <w:sz w:val="20"/>
        </w:rPr>
        <w:t>ałącznik nr 4 do SWZ</w:t>
      </w:r>
    </w:p>
    <w:p w14:paraId="1B23A79F">
      <w:pPr>
        <w:pStyle w:val="9"/>
        <w:jc w:val="both"/>
        <w:rPr>
          <w:rFonts w:ascii="Trebuchet MS" w:hAnsi="Trebuchet MS"/>
          <w:b/>
          <w:sz w:val="20"/>
          <w:szCs w:val="20"/>
          <w:u w:val="single"/>
        </w:rPr>
      </w:pPr>
      <w:r>
        <w:rPr>
          <w:rFonts w:ascii="Trebuchet MS" w:hAnsi="Trebuchet MS"/>
          <w:b/>
          <w:sz w:val="20"/>
          <w:szCs w:val="20"/>
        </w:rPr>
        <w:t>WTI.271.2.</w:t>
      </w:r>
      <w:r>
        <w:rPr>
          <w:rFonts w:hint="default" w:ascii="Trebuchet MS" w:hAnsi="Trebuchet MS"/>
          <w:b/>
          <w:sz w:val="20"/>
          <w:szCs w:val="20"/>
          <w:lang w:val="pl-PL"/>
        </w:rPr>
        <w:t>18</w:t>
      </w:r>
      <w:r>
        <w:rPr>
          <w:rFonts w:ascii="Trebuchet MS" w:hAnsi="Trebuchet MS"/>
          <w:b/>
          <w:sz w:val="20"/>
          <w:szCs w:val="20"/>
        </w:rPr>
        <w:t>.202</w:t>
      </w:r>
      <w:r>
        <w:rPr>
          <w:rFonts w:hint="default" w:ascii="Trebuchet MS" w:hAnsi="Trebuchet MS"/>
          <w:b/>
          <w:sz w:val="20"/>
          <w:szCs w:val="20"/>
          <w:lang w:val="pl-PL"/>
        </w:rPr>
        <w:t>4</w:t>
      </w:r>
      <w:r>
        <w:rPr>
          <w:rFonts w:ascii="Trebuchet MS" w:hAnsi="Trebuchet MS"/>
          <w:b/>
          <w:sz w:val="20"/>
          <w:szCs w:val="20"/>
        </w:rPr>
        <w:t>.ZP</w:t>
      </w:r>
    </w:p>
    <w:p w14:paraId="797A8E6E">
      <w:pPr>
        <w:pStyle w:val="5"/>
        <w:spacing w:line="288" w:lineRule="auto"/>
        <w:ind w:right="28"/>
        <w:jc w:val="center"/>
        <w:rPr>
          <w:rFonts w:ascii="Trebuchet MS" w:hAnsi="Trebuchet MS" w:cs="Arial"/>
          <w:b/>
          <w:sz w:val="20"/>
        </w:rPr>
      </w:pPr>
    </w:p>
    <w:p w14:paraId="2BFCA947">
      <w:pPr>
        <w:pStyle w:val="5"/>
        <w:spacing w:line="288" w:lineRule="auto"/>
        <w:ind w:right="28"/>
        <w:jc w:val="center"/>
        <w:rPr>
          <w:rFonts w:ascii="Trebuchet MS" w:hAnsi="Trebuchet MS" w:cs="Arial"/>
          <w:b/>
          <w:sz w:val="20"/>
        </w:rPr>
      </w:pPr>
    </w:p>
    <w:p w14:paraId="54916309">
      <w:pPr>
        <w:pStyle w:val="5"/>
        <w:spacing w:line="288" w:lineRule="auto"/>
        <w:ind w:right="28"/>
        <w:jc w:val="center"/>
        <w:rPr>
          <w:rFonts w:ascii="Trebuchet MS" w:hAnsi="Trebuchet MS" w:cs="Arial"/>
          <w:b/>
          <w:sz w:val="20"/>
        </w:rPr>
      </w:pPr>
      <w:r>
        <w:rPr>
          <w:rFonts w:hint="default" w:ascii="Trebuchet MS" w:hAnsi="Trebuchet MS" w:cs="Arial"/>
          <w:b/>
          <w:sz w:val="20"/>
          <w:lang w:val="pl-PL"/>
        </w:rPr>
        <w:t xml:space="preserve">SZCZEGÓŁOWY </w:t>
      </w:r>
      <w:r>
        <w:rPr>
          <w:rFonts w:ascii="Trebuchet MS" w:hAnsi="Trebuchet MS" w:cs="Arial"/>
          <w:b/>
          <w:sz w:val="20"/>
        </w:rPr>
        <w:t>OPIS PRZEDMIOTU ZAMÓWIENIA</w:t>
      </w:r>
    </w:p>
    <w:p w14:paraId="3BDBB18C">
      <w:pPr>
        <w:spacing w:line="288" w:lineRule="auto"/>
        <w:ind w:hanging="22"/>
        <w:jc w:val="center"/>
        <w:rPr>
          <w:rFonts w:ascii="Trebuchet MS" w:hAnsi="Trebuchet MS" w:cs="Arial"/>
          <w:b/>
          <w:bCs/>
          <w:i/>
          <w:iCs/>
          <w:sz w:val="20"/>
          <w:szCs w:val="20"/>
        </w:rPr>
      </w:pPr>
      <w:r>
        <w:rPr>
          <w:rFonts w:ascii="Trebuchet MS" w:hAnsi="Trebuchet MS" w:cs="Arial"/>
          <w:sz w:val="20"/>
          <w:szCs w:val="20"/>
        </w:rPr>
        <w:t>(Szczegółowy opis przedmiotu zamówienia wraz ze wskazaniem wymagań jakościowych odnoszących się do głównych elementów składających się na przedmiot zamówienia)</w:t>
      </w:r>
      <w:r>
        <w:rPr>
          <w:rFonts w:ascii="Trebuchet MS" w:hAnsi="Trebuchet MS" w:cs="Arial"/>
          <w:sz w:val="20"/>
          <w:szCs w:val="20"/>
        </w:rPr>
        <w:br w:type="textWrapping"/>
      </w:r>
      <w:r>
        <w:rPr>
          <w:rFonts w:ascii="Trebuchet MS" w:hAnsi="Trebuchet MS" w:cs="Arial"/>
          <w:sz w:val="20"/>
          <w:szCs w:val="20"/>
        </w:rPr>
        <w:t>na:</w:t>
      </w:r>
      <w:r>
        <w:rPr>
          <w:rFonts w:ascii="Trebuchet MS" w:hAnsi="Trebuchet MS" w:cs="Arial"/>
          <w:sz w:val="20"/>
          <w:szCs w:val="20"/>
        </w:rPr>
        <w:br w:type="textWrapping"/>
      </w:r>
      <w:r>
        <w:rPr>
          <w:rFonts w:ascii="Trebuchet MS" w:hAnsi="Trebuchet MS" w:cs="Arial"/>
          <w:b/>
          <w:bCs/>
          <w:i/>
          <w:iCs/>
          <w:sz w:val="20"/>
          <w:szCs w:val="20"/>
        </w:rPr>
        <w:t>„</w:t>
      </w:r>
      <w:r>
        <w:rPr>
          <w:rFonts w:hint="default" w:ascii="Trebuchet MS" w:hAnsi="Trebuchet MS" w:cs="Arial"/>
          <w:b/>
          <w:bCs/>
          <w:i/>
          <w:iCs/>
          <w:sz w:val="20"/>
          <w:szCs w:val="20"/>
          <w:lang w:val="pl-PL"/>
        </w:rPr>
        <w:t>Usuwanie wyrobów zawierających azbest w gospodarstwach rolnych z terenu Gminy Wolbrom</w:t>
      </w:r>
      <w:r>
        <w:rPr>
          <w:rFonts w:ascii="Trebuchet MS" w:hAnsi="Trebuchet MS" w:cs="Arial"/>
          <w:b/>
          <w:bCs/>
          <w:i/>
          <w:iCs/>
          <w:sz w:val="20"/>
          <w:szCs w:val="20"/>
        </w:rPr>
        <w:t>”</w:t>
      </w:r>
    </w:p>
    <w:p w14:paraId="021873EE">
      <w:pPr>
        <w:spacing w:line="288" w:lineRule="auto"/>
        <w:ind w:hanging="22"/>
        <w:jc w:val="center"/>
        <w:rPr>
          <w:rFonts w:ascii="Trebuchet MS" w:hAnsi="Trebuchet MS" w:cs="Arial"/>
          <w:b/>
          <w:bCs/>
          <w:i/>
          <w:iCs/>
          <w:sz w:val="20"/>
          <w:szCs w:val="20"/>
        </w:rPr>
      </w:pPr>
    </w:p>
    <w:p w14:paraId="17DE48DD">
      <w:pPr>
        <w:numPr>
          <w:ilvl w:val="0"/>
          <w:numId w:val="1"/>
        </w:numPr>
        <w:tabs>
          <w:tab w:val="left" w:pos="426"/>
        </w:tabs>
        <w:spacing w:after="0" w:line="240" w:lineRule="auto"/>
        <w:ind w:left="426" w:hanging="426"/>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Przedmiotem zamówienia jest odbiór pokryć dachowych z budynków</w:t>
      </w:r>
      <w:r>
        <w:rPr>
          <w:rFonts w:hint="default"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 xml:space="preserve">gospodarczych zawierających azbest (płyty azbestowo – cementowe faliste i płaskie) z </w:t>
      </w:r>
      <w:r>
        <w:rPr>
          <w:rFonts w:hint="default" w:ascii="Trebuchet MS" w:hAnsi="Trebuchet MS" w:eastAsia="Times New Roman" w:cs="Times New Roman"/>
          <w:color w:val="333333"/>
          <w:sz w:val="20"/>
          <w:szCs w:val="20"/>
          <w:lang w:val="en-US" w:eastAsia="pl-PL"/>
        </w:rPr>
        <w:t>nieruchomości</w:t>
      </w:r>
      <w:r>
        <w:rPr>
          <w:rFonts w:ascii="Trebuchet MS" w:hAnsi="Trebuchet MS" w:eastAsia="Times New Roman" w:cs="Times New Roman"/>
          <w:color w:val="333333"/>
          <w:sz w:val="20"/>
          <w:szCs w:val="20"/>
          <w:lang w:eastAsia="pl-PL"/>
        </w:rPr>
        <w:t xml:space="preserve">, przygotowanie do transportu i załadunek oraz uporządkowanie miejsca wykonania usługi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z odpadów zawierających azbest, jak również transport na składowisko odpadów niebezpiecznych, rozładunek i unieszkodliwianie wyrobów zawierających azbest, w ilości </w:t>
      </w:r>
      <w:r>
        <w:rPr>
          <w:rFonts w:ascii="Trebuchet MS" w:hAnsi="Trebuchet MS" w:eastAsia="Times New Roman" w:cs="Times New Roman"/>
          <w:sz w:val="20"/>
          <w:szCs w:val="20"/>
          <w:lang w:eastAsia="pl-PL"/>
        </w:rPr>
        <w:t xml:space="preserve">maksymalnej do </w:t>
      </w:r>
      <w:r>
        <w:rPr>
          <w:rFonts w:hint="default" w:ascii="Trebuchet MS" w:hAnsi="Trebuchet MS" w:eastAsia="Times New Roman" w:cs="Times New Roman"/>
          <w:b/>
          <w:bCs/>
          <w:sz w:val="20"/>
          <w:szCs w:val="20"/>
          <w:lang w:val="en-US" w:eastAsia="pl-PL"/>
        </w:rPr>
        <w:t>725,46</w:t>
      </w:r>
      <w:r>
        <w:rPr>
          <w:rFonts w:ascii="Trebuchet MS" w:hAnsi="Trebuchet MS" w:eastAsia="Times New Roman" w:cs="Times New Roman"/>
          <w:b/>
          <w:bCs/>
          <w:color w:val="333333"/>
          <w:sz w:val="20"/>
          <w:szCs w:val="20"/>
          <w:lang w:eastAsia="pl-PL"/>
        </w:rPr>
        <w:t xml:space="preserve"> Mg</w:t>
      </w:r>
      <w:r>
        <w:rPr>
          <w:rFonts w:ascii="Trebuchet MS" w:hAnsi="Trebuchet MS" w:eastAsia="Times New Roman" w:cs="Times New Roman"/>
          <w:color w:val="333333"/>
          <w:sz w:val="20"/>
          <w:szCs w:val="20"/>
          <w:lang w:eastAsia="pl-PL"/>
        </w:rPr>
        <w:t xml:space="preserve">, która może ulec </w:t>
      </w:r>
      <w:bookmarkStart w:id="0" w:name="_Hlk511809520"/>
      <w:r>
        <w:rPr>
          <w:rFonts w:ascii="Trebuchet MS" w:hAnsi="Trebuchet MS" w:eastAsia="Times New Roman" w:cs="Times New Roman"/>
          <w:color w:val="333333"/>
          <w:sz w:val="20"/>
          <w:szCs w:val="20"/>
          <w:lang w:eastAsia="pl-PL"/>
        </w:rPr>
        <w:t>zmniejszeniu</w:t>
      </w:r>
      <w:bookmarkEnd w:id="0"/>
      <w:r>
        <w:rPr>
          <w:rFonts w:ascii="Trebuchet MS" w:hAnsi="Trebuchet MS" w:eastAsia="Times New Roman" w:cs="Times New Roman"/>
          <w:color w:val="333333"/>
          <w:sz w:val="20"/>
          <w:szCs w:val="20"/>
          <w:lang w:eastAsia="pl-PL"/>
        </w:rPr>
        <w:t xml:space="preserve">. </w:t>
      </w:r>
      <w:bookmarkStart w:id="1" w:name="_Hlk511809563"/>
      <w:r>
        <w:rPr>
          <w:rFonts w:ascii="Trebuchet MS" w:hAnsi="Trebuchet MS" w:eastAsia="Times New Roman" w:cs="Times New Roman"/>
          <w:color w:val="333333"/>
          <w:sz w:val="20"/>
          <w:szCs w:val="20"/>
          <w:lang w:eastAsia="pl-PL"/>
        </w:rPr>
        <w:t>Wykonawca wykona usługę zgodnie z obowiązującymi w tym zakresie przepisami prawa</w:t>
      </w:r>
      <w:bookmarkEnd w:id="1"/>
      <w:r>
        <w:rPr>
          <w:rFonts w:ascii="Trebuchet MS" w:hAnsi="Trebuchet MS" w:eastAsia="Times New Roman" w:cs="Times New Roman"/>
          <w:color w:val="333333"/>
          <w:sz w:val="20"/>
          <w:szCs w:val="20"/>
          <w:lang w:eastAsia="pl-PL"/>
        </w:rPr>
        <w:t>. Szczegółowy zakres prac obejmuje:</w:t>
      </w:r>
    </w:p>
    <w:p w14:paraId="734FBA3F">
      <w:pPr>
        <w:numPr>
          <w:ilvl w:val="1"/>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color w:val="333333"/>
          <w:sz w:val="20"/>
          <w:szCs w:val="20"/>
          <w:lang w:eastAsia="pl-PL"/>
        </w:rPr>
        <w:t xml:space="preserve">Załadunek, transport i unieszkodliwianie pokryć dachowych wykonanych z płyt falistych azbestowo-cementowych oraz płyt azbestowo-cementowych płaskich stosowanych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w budownictwie z terenu gminy Wolbrom w ilości </w:t>
      </w:r>
      <w:r>
        <w:rPr>
          <w:rFonts w:ascii="Trebuchet MS" w:hAnsi="Trebuchet MS" w:eastAsia="Times New Roman" w:cs="Times New Roman"/>
          <w:sz w:val="20"/>
          <w:szCs w:val="20"/>
          <w:lang w:eastAsia="pl-PL"/>
        </w:rPr>
        <w:t xml:space="preserve">maksymalnej do </w:t>
      </w:r>
      <w:r>
        <w:rPr>
          <w:rFonts w:hint="default" w:ascii="Trebuchet MS" w:hAnsi="Trebuchet MS" w:eastAsia="Times New Roman" w:cs="Times New Roman"/>
          <w:sz w:val="20"/>
          <w:szCs w:val="20"/>
          <w:lang w:val="en-US" w:eastAsia="pl-PL"/>
        </w:rPr>
        <w:t>725,46</w:t>
      </w:r>
      <w:r>
        <w:rPr>
          <w:rFonts w:ascii="Trebuchet MS" w:hAnsi="Trebuchet MS" w:eastAsia="Times New Roman" w:cs="Times New Roman"/>
          <w:sz w:val="20"/>
          <w:szCs w:val="20"/>
          <w:lang w:eastAsia="pl-PL"/>
        </w:rPr>
        <w:t xml:space="preserve"> Mg. </w:t>
      </w:r>
      <w:r>
        <w:rPr>
          <w:rFonts w:ascii="Trebuchet MS" w:hAnsi="Trebuchet MS" w:eastAsia="Times New Roman" w:cs="Times New Roman"/>
          <w:color w:val="333333"/>
          <w:sz w:val="20"/>
          <w:szCs w:val="20"/>
          <w:lang w:eastAsia="pl-PL"/>
        </w:rPr>
        <w:t xml:space="preserve">W ramach prac wykonane zostaną: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z zastosowaniem wzorów dokumentów określonych </w:t>
      </w:r>
      <w:r>
        <w:rPr>
          <w:rFonts w:ascii="Trebuchet MS" w:hAnsi="Trebuchet MS" w:eastAsia="Times New Roman" w:cs="Times New Roman"/>
          <w:sz w:val="20"/>
          <w:szCs w:val="20"/>
          <w:lang w:val="en-US" w:eastAsia="pl-PL"/>
        </w:rPr>
        <w:t>w ustawie</w:t>
      </w:r>
      <w:r>
        <w:rPr>
          <w:rFonts w:ascii="Trebuchet MS" w:hAnsi="Trebuchet MS" w:eastAsia="Times New Roman" w:cs="Times New Roman"/>
          <w:sz w:val="20"/>
          <w:szCs w:val="20"/>
          <w:lang w:eastAsia="pl-PL"/>
        </w:rPr>
        <w:t xml:space="preserve"> z dnia 12 grudnia 2014 r. </w:t>
      </w:r>
      <w:r>
        <w:rPr>
          <w:rFonts w:ascii="Trebuchet MS" w:hAnsi="Trebuchet MS" w:eastAsia="Times New Roman" w:cs="Times New Roman"/>
          <w:sz w:val="20"/>
          <w:szCs w:val="20"/>
          <w:lang w:val="en-US" w:eastAsia="pl-PL"/>
        </w:rPr>
        <w:t xml:space="preserve">o odpadach </w:t>
      </w:r>
      <w:r>
        <w:rPr>
          <w:rFonts w:ascii="Trebuchet MS" w:hAnsi="Trebuchet MS" w:eastAsia="Times New Roman" w:cs="Times New Roman"/>
          <w:sz w:val="20"/>
          <w:szCs w:val="20"/>
          <w:lang w:eastAsia="pl-PL"/>
        </w:rPr>
        <w:t>(</w:t>
      </w:r>
      <w:r>
        <w:rPr>
          <w:rFonts w:ascii="Trebuchet MS" w:hAnsi="Trebuchet MS" w:eastAsia="Times New Roman" w:cs="Times New Roman"/>
          <w:sz w:val="20"/>
          <w:szCs w:val="20"/>
          <w:lang w:val="en-US" w:eastAsia="pl-PL"/>
        </w:rPr>
        <w:t>t.j.</w:t>
      </w:r>
      <w:r>
        <w:rPr>
          <w:rFonts w:ascii="Trebuchet MS" w:hAnsi="Trebuchet MS" w:eastAsia="Times New Roman" w:cs="Times New Roman"/>
          <w:sz w:val="20"/>
          <w:szCs w:val="20"/>
          <w:lang w:eastAsia="pl-PL"/>
        </w:rPr>
        <w:t>Dz. U. z 20</w:t>
      </w:r>
      <w:r>
        <w:rPr>
          <w:rFonts w:ascii="Trebuchet MS" w:hAnsi="Trebuchet MS" w:eastAsia="Times New Roman" w:cs="Times New Roman"/>
          <w:sz w:val="20"/>
          <w:szCs w:val="20"/>
          <w:lang w:val="en-US" w:eastAsia="pl-PL"/>
        </w:rPr>
        <w:t>23</w:t>
      </w:r>
      <w:r>
        <w:rPr>
          <w:rFonts w:ascii="Trebuchet MS" w:hAnsi="Trebuchet MS" w:eastAsia="Times New Roman" w:cs="Times New Roman"/>
          <w:sz w:val="20"/>
          <w:szCs w:val="20"/>
          <w:lang w:eastAsia="pl-PL"/>
        </w:rPr>
        <w:t xml:space="preserve"> r. poz.1</w:t>
      </w:r>
      <w:r>
        <w:rPr>
          <w:rFonts w:ascii="Trebuchet MS" w:hAnsi="Trebuchet MS" w:eastAsia="Times New Roman" w:cs="Times New Roman"/>
          <w:sz w:val="20"/>
          <w:szCs w:val="20"/>
          <w:lang w:val="en-US" w:eastAsia="pl-PL"/>
        </w:rPr>
        <w:t>587 z późn.zm.</w:t>
      </w:r>
      <w:r>
        <w:rPr>
          <w:rFonts w:ascii="Trebuchet MS" w:hAnsi="Trebuchet MS" w:eastAsia="Times New Roman" w:cs="Times New Roman"/>
          <w:sz w:val="20"/>
          <w:szCs w:val="20"/>
          <w:lang w:eastAsia="pl-PL"/>
        </w:rPr>
        <w:t xml:space="preserve">) – “Karta przekazania odpadu”. </w:t>
      </w:r>
    </w:p>
    <w:p w14:paraId="7884AC2E">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Wykaz nieruchomości określający lokalizację i dane właścicieli posesji, z których należy usunąć wyroby zawierające azbest oraz termin wykonania prac Wykonawca otrzyma</w:t>
      </w:r>
      <w:r>
        <w:rPr>
          <w:rFonts w:hint="default" w:ascii="Trebuchet MS" w:hAnsi="Trebuchet MS" w:eastAsia="Times New Roman" w:cs="Times New Roman"/>
          <w:color w:val="333333"/>
          <w:sz w:val="20"/>
          <w:szCs w:val="20"/>
          <w:highlight w:val="none"/>
          <w:lang w:val="en-US" w:eastAsia="pl-PL"/>
        </w:rPr>
        <w:t xml:space="preserve"> </w:t>
      </w:r>
      <w:r>
        <w:rPr>
          <w:rFonts w:hint="default" w:ascii="Trebuchet MS" w:hAnsi="Trebuchet MS" w:eastAsia="Times New Roman" w:cs="Times New Roman"/>
          <w:color w:val="auto"/>
          <w:sz w:val="20"/>
          <w:szCs w:val="20"/>
          <w:highlight w:val="none"/>
          <w:lang w:val="en-US" w:eastAsia="pl-PL"/>
        </w:rPr>
        <w:t xml:space="preserve">w dniu </w:t>
      </w:r>
      <w:r>
        <w:rPr>
          <w:rFonts w:ascii="Trebuchet MS" w:hAnsi="Trebuchet MS" w:eastAsia="Times New Roman" w:cs="Times New Roman"/>
          <w:color w:val="auto"/>
          <w:sz w:val="20"/>
          <w:szCs w:val="20"/>
          <w:highlight w:val="none"/>
          <w:lang w:eastAsia="pl-PL"/>
        </w:rPr>
        <w:t>podpisan</w:t>
      </w:r>
      <w:r>
        <w:rPr>
          <w:rFonts w:hint="default" w:ascii="Trebuchet MS" w:hAnsi="Trebuchet MS" w:eastAsia="Times New Roman" w:cs="Times New Roman"/>
          <w:color w:val="auto"/>
          <w:sz w:val="20"/>
          <w:szCs w:val="20"/>
          <w:highlight w:val="none"/>
          <w:lang w:val="en-US" w:eastAsia="pl-PL"/>
        </w:rPr>
        <w:t>ia</w:t>
      </w:r>
      <w:r>
        <w:rPr>
          <w:rFonts w:ascii="Trebuchet MS" w:hAnsi="Trebuchet MS" w:eastAsia="Times New Roman" w:cs="Times New Roman"/>
          <w:color w:val="auto"/>
          <w:sz w:val="20"/>
          <w:szCs w:val="20"/>
          <w:highlight w:val="none"/>
          <w:lang w:eastAsia="pl-PL"/>
        </w:rPr>
        <w:t xml:space="preserve"> umowy. </w:t>
      </w:r>
    </w:p>
    <w:p w14:paraId="60DC1A35">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Na podstawie otrzymanego Wykazu oraz aktualizacji, </w:t>
      </w:r>
      <w:r>
        <w:rPr>
          <w:rFonts w:ascii="Trebuchet MS" w:hAnsi="Trebuchet MS" w:eastAsia="Times New Roman" w:cs="Times New Roman"/>
          <w:b/>
          <w:color w:val="333333"/>
          <w:sz w:val="20"/>
          <w:szCs w:val="20"/>
          <w:lang w:eastAsia="pl-PL"/>
        </w:rPr>
        <w:t xml:space="preserve">Wykonawca jest zobowiązany </w:t>
      </w:r>
      <w:r>
        <w:rPr>
          <w:rFonts w:ascii="Trebuchet MS" w:hAnsi="Trebuchet MS" w:eastAsia="Times New Roman" w:cs="Times New Roman"/>
          <w:b/>
          <w:sz w:val="20"/>
          <w:szCs w:val="20"/>
          <w:lang w:eastAsia="pl-PL"/>
        </w:rPr>
        <w:t>w terminie 14 dni od daty otrzymania</w:t>
      </w:r>
      <w:r>
        <w:rPr>
          <w:rFonts w:hint="default" w:ascii="Trebuchet MS" w:hAnsi="Trebuchet MS" w:eastAsia="Times New Roman" w:cs="Times New Roman"/>
          <w:b/>
          <w:sz w:val="20"/>
          <w:szCs w:val="20"/>
          <w:lang w:val="en-US" w:eastAsia="pl-PL"/>
        </w:rPr>
        <w:t xml:space="preserve"> </w:t>
      </w:r>
      <w:r>
        <w:rPr>
          <w:rFonts w:ascii="Trebuchet MS" w:hAnsi="Trebuchet MS" w:eastAsia="Times New Roman" w:cs="Times New Roman"/>
          <w:b/>
          <w:color w:val="333333"/>
          <w:sz w:val="20"/>
          <w:szCs w:val="20"/>
          <w:lang w:eastAsia="pl-PL"/>
        </w:rPr>
        <w:t xml:space="preserve">ustalić z właścicielami lub zarządcami nieruchomości </w:t>
      </w:r>
      <w:r>
        <w:rPr>
          <w:rFonts w:ascii="Trebuchet MS" w:hAnsi="Trebuchet MS" w:eastAsia="Times New Roman" w:cs="Times New Roman"/>
          <w:b/>
          <w:color w:val="333333"/>
          <w:sz w:val="20"/>
          <w:szCs w:val="20"/>
          <w:u w:val="single"/>
          <w:lang w:eastAsia="pl-PL"/>
        </w:rPr>
        <w:t>harmonogram odbioru</w:t>
      </w:r>
      <w:r>
        <w:rPr>
          <w:rFonts w:ascii="Trebuchet MS" w:hAnsi="Trebuchet MS" w:eastAsia="Times New Roman" w:cs="Times New Roman"/>
          <w:color w:val="333333"/>
          <w:sz w:val="20"/>
          <w:szCs w:val="20"/>
          <w:u w:val="single"/>
          <w:lang w:eastAsia="pl-PL"/>
        </w:rPr>
        <w:t>,</w:t>
      </w:r>
      <w:r>
        <w:rPr>
          <w:rFonts w:ascii="Trebuchet MS" w:hAnsi="Trebuchet MS" w:eastAsia="Times New Roman" w:cs="Times New Roman"/>
          <w:color w:val="333333"/>
          <w:sz w:val="20"/>
          <w:szCs w:val="20"/>
          <w:lang w:eastAsia="pl-PL"/>
        </w:rPr>
        <w:t xml:space="preserve"> wskazujący konkretne terminy realizacji zamówienia w odniesieniu do poszczególnych nieruchomości </w:t>
      </w:r>
      <w:r>
        <w:rPr>
          <w:rFonts w:ascii="Trebuchet MS" w:hAnsi="Trebuchet MS" w:eastAsia="Times New Roman" w:cs="Times New Roman"/>
          <w:b/>
          <w:color w:val="333333"/>
          <w:sz w:val="20"/>
          <w:szCs w:val="20"/>
          <w:lang w:eastAsia="pl-PL"/>
        </w:rPr>
        <w:t>i przekazać harmonogram Zamawiającemu</w:t>
      </w:r>
      <w:r>
        <w:rPr>
          <w:rFonts w:ascii="Trebuchet MS" w:hAnsi="Trebuchet MS" w:eastAsia="Times New Roman" w:cs="Times New Roman"/>
          <w:color w:val="333333"/>
          <w:sz w:val="20"/>
          <w:szCs w:val="20"/>
          <w:lang w:eastAsia="pl-PL"/>
        </w:rPr>
        <w:t>.</w:t>
      </w:r>
      <w:bookmarkStart w:id="3" w:name="_GoBack"/>
      <w:bookmarkEnd w:id="3"/>
    </w:p>
    <w:p w14:paraId="188079B1">
      <w:pPr>
        <w:spacing w:after="0" w:line="240" w:lineRule="auto"/>
        <w:ind w:left="360"/>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Wykaz </w:t>
      </w:r>
      <w:r>
        <w:rPr>
          <w:rFonts w:ascii="Trebuchet MS" w:hAnsi="Trebuchet MS" w:eastAsia="Times New Roman" w:cs="Times New Roman"/>
          <w:color w:val="333333"/>
          <w:sz w:val="20"/>
          <w:szCs w:val="20"/>
          <w:lang w:val="en-US" w:eastAsia="pl-PL"/>
        </w:rPr>
        <w:t>nieruchomości</w:t>
      </w:r>
      <w:r>
        <w:rPr>
          <w:rFonts w:ascii="Trebuchet MS" w:hAnsi="Trebuchet MS" w:eastAsia="Times New Roman" w:cs="Times New Roman"/>
          <w:color w:val="333333"/>
          <w:sz w:val="20"/>
          <w:szCs w:val="20"/>
          <w:lang w:eastAsia="pl-PL"/>
        </w:rPr>
        <w:t xml:space="preserve"> zostanie przekazany w </w:t>
      </w:r>
      <w:r>
        <w:rPr>
          <w:rFonts w:hint="default" w:ascii="Trebuchet MS" w:hAnsi="Trebuchet MS" w:eastAsia="Times New Roman" w:cs="Times New Roman"/>
          <w:color w:val="333333"/>
          <w:sz w:val="20"/>
          <w:szCs w:val="20"/>
          <w:lang w:val="en-US" w:eastAsia="pl-PL"/>
        </w:rPr>
        <w:t>terminie do 7 dni roboczych od podpisania umowy</w:t>
      </w:r>
      <w:r>
        <w:rPr>
          <w:rFonts w:ascii="Trebuchet MS" w:hAnsi="Trebuchet MS" w:eastAsia="Times New Roman" w:cs="Times New Roman"/>
          <w:color w:val="333333"/>
          <w:sz w:val="20"/>
          <w:szCs w:val="20"/>
          <w:lang w:eastAsia="pl-PL"/>
        </w:rPr>
        <w:t>.</w:t>
      </w:r>
    </w:p>
    <w:p w14:paraId="7B350887">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highlight w:val="none"/>
          <w:lang w:eastAsia="pl-PL"/>
        </w:rPr>
        <w:t>Wykonawca jest z</w:t>
      </w:r>
      <w:r>
        <w:rPr>
          <w:rFonts w:ascii="Trebuchet MS" w:hAnsi="Trebuchet MS" w:eastAsia="Times New Roman" w:cs="Times New Roman"/>
          <w:color w:val="333333"/>
          <w:sz w:val="20"/>
          <w:szCs w:val="20"/>
          <w:lang w:eastAsia="pl-PL"/>
        </w:rPr>
        <w:t>obowiązany do realizacji zamówienia zgodnie z uzgodnionym</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i złożonym u Zamawiającego harmonogramem odbioru. Odstępstwa od harmonogramu Wykonawca powinien niezwłocznie zgłaszać Zamawiającemu z uzasadnieniem przyczyn w formie notatki lub protokołu niezgodności.</w:t>
      </w:r>
    </w:p>
    <w:p w14:paraId="0C1252AC">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Akceptowalna przez Zamawiającego jest zmiana harmonogramu z przyczyn nie leżących po stronie </w:t>
      </w:r>
      <w:r>
        <w:rPr>
          <w:rFonts w:hint="default" w:ascii="Trebuchet MS" w:hAnsi="Trebuchet MS" w:eastAsia="Times New Roman" w:cs="Times New Roman"/>
          <w:color w:val="333333"/>
          <w:sz w:val="20"/>
          <w:szCs w:val="20"/>
          <w:lang w:val="en-US" w:eastAsia="pl-PL"/>
        </w:rPr>
        <w:t>Wykonawcy</w:t>
      </w:r>
      <w:r>
        <w:rPr>
          <w:rFonts w:ascii="Trebuchet MS" w:hAnsi="Trebuchet MS" w:eastAsia="Times New Roman" w:cs="Times New Roman"/>
          <w:color w:val="333333"/>
          <w:sz w:val="20"/>
          <w:szCs w:val="20"/>
          <w:lang w:eastAsia="pl-PL"/>
        </w:rPr>
        <w:t>, a w szczególności będących skutkiem zdarzeń losowych dotykających właścicieli lub zarządców nieruchomości, działania siły wyższej, warunków atmosferycznych, problemów z właścicielami lub zarządcami nieruchomości.</w:t>
      </w:r>
    </w:p>
    <w:p w14:paraId="695E27E1">
      <w:pPr>
        <w:numPr>
          <w:ilvl w:val="0"/>
          <w:numId w:val="2"/>
        </w:numPr>
        <w:shd w:val="clear" w:fill="FFFFFF" w:themeFill="background1"/>
        <w:spacing w:after="0" w:line="240" w:lineRule="auto"/>
        <w:jc w:val="both"/>
        <w:rPr>
          <w:rFonts w:ascii="Trebuchet MS" w:hAnsi="Trebuchet MS" w:eastAsia="Times New Roman" w:cs="Times New Roman"/>
          <w:color w:val="333333"/>
          <w:sz w:val="20"/>
          <w:szCs w:val="20"/>
          <w:highlight w:val="none"/>
          <w:lang w:eastAsia="pl-PL"/>
        </w:rPr>
      </w:pPr>
      <w:r>
        <w:rPr>
          <w:rFonts w:ascii="Trebuchet MS" w:hAnsi="Trebuchet MS" w:eastAsia="Times New Roman" w:cs="Times New Roman"/>
          <w:color w:val="333333"/>
          <w:sz w:val="20"/>
          <w:szCs w:val="20"/>
          <w:lang w:eastAsia="pl-PL"/>
        </w:rPr>
        <w:t xml:space="preserve">Koszty ważenia wyrobów zawierających azbest ponosi Wykonawca. Ważenie odbieranych odpadów zawierających azbest powinno się odbywać w obecności </w:t>
      </w:r>
      <w:r>
        <w:rPr>
          <w:rFonts w:ascii="Trebuchet MS" w:hAnsi="Trebuchet MS" w:eastAsia="Times New Roman" w:cs="Times New Roman"/>
          <w:sz w:val="20"/>
          <w:szCs w:val="20"/>
          <w:lang w:eastAsia="pl-PL"/>
        </w:rPr>
        <w:t>właściciela l</w:t>
      </w:r>
      <w:r>
        <w:rPr>
          <w:rFonts w:ascii="Trebuchet MS" w:hAnsi="Trebuchet MS" w:eastAsia="Times New Roman" w:cs="Times New Roman"/>
          <w:color w:val="333333"/>
          <w:sz w:val="20"/>
          <w:szCs w:val="20"/>
          <w:lang w:eastAsia="pl-PL"/>
        </w:rPr>
        <w:t>ub zarządcy nieruchomości.</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Wykonawca</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dokonuje</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ważenia</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i z tej czynności sporządza protokół zawierający</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co najmniej następujące informacje:</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imię i nazwisko właściciela lub zarządcy nieruchomości, od którego odbierane są odpady zawierające azbest, adres nieruchomości, z której następuje odbiór odpadów</w:t>
      </w:r>
      <w:r>
        <w:rPr>
          <w:rFonts w:ascii="Trebuchet MS" w:hAnsi="Trebuchet MS" w:eastAsia="Times New Roman" w:cs="Times New Roman"/>
          <w:color w:val="333333"/>
          <w:sz w:val="20"/>
          <w:szCs w:val="20"/>
          <w:lang w:val="en-US" w:eastAsia="pl-PL"/>
        </w:rPr>
        <w:t>,</w:t>
      </w:r>
      <w:r>
        <w:rPr>
          <w:rFonts w:ascii="Trebuchet MS" w:hAnsi="Trebuchet MS" w:eastAsia="Times New Roman" w:cs="Times New Roman"/>
          <w:color w:val="333333"/>
          <w:sz w:val="20"/>
          <w:szCs w:val="20"/>
          <w:lang w:eastAsia="pl-PL"/>
        </w:rPr>
        <w:t xml:space="preserve"> datę odbioru, ilość odebranych odpadów w</w:t>
      </w:r>
      <w:r>
        <w:rPr>
          <w:rFonts w:ascii="Trebuchet MS" w:hAnsi="Trebuchet MS" w:eastAsia="Times New Roman" w:cs="Times New Roman"/>
          <w:sz w:val="20"/>
          <w:szCs w:val="20"/>
          <w:lang w:eastAsia="pl-PL"/>
        </w:rPr>
        <w:t xml:space="preserve"> Mg,</w:t>
      </w:r>
      <w:r>
        <w:rPr>
          <w:rFonts w:ascii="Trebuchet MS" w:hAnsi="Trebuchet MS" w:eastAsia="Times New Roman" w:cs="Times New Roman"/>
          <w:color w:val="333333"/>
          <w:sz w:val="20"/>
          <w:szCs w:val="20"/>
          <w:lang w:eastAsia="pl-PL"/>
        </w:rPr>
        <w:t xml:space="preserve"> potwierdzenie prawidłowego </w:t>
      </w:r>
      <w:r>
        <w:rPr>
          <w:rFonts w:ascii="Trebuchet MS" w:hAnsi="Trebuchet MS" w:eastAsia="Times New Roman" w:cs="Times New Roman"/>
          <w:color w:val="333333"/>
          <w:sz w:val="20"/>
          <w:szCs w:val="20"/>
          <w:highlight w:val="none"/>
          <w:lang w:eastAsia="pl-PL"/>
        </w:rPr>
        <w:t xml:space="preserve">wykonania usługi. </w:t>
      </w:r>
    </w:p>
    <w:p w14:paraId="3466C5C1">
      <w:pPr>
        <w:numPr>
          <w:ilvl w:val="0"/>
          <w:numId w:val="2"/>
        </w:numPr>
        <w:shd w:val="clear" w:fill="FFFFFF" w:themeFill="background1"/>
        <w:spacing w:after="0" w:line="240" w:lineRule="auto"/>
        <w:jc w:val="both"/>
        <w:rPr>
          <w:rFonts w:ascii="Trebuchet MS" w:hAnsi="Trebuchet MS" w:eastAsia="Times New Roman" w:cs="Times New Roman"/>
          <w:color w:val="333333"/>
          <w:sz w:val="20"/>
          <w:szCs w:val="20"/>
          <w:highlight w:val="none"/>
          <w:lang w:eastAsia="pl-PL"/>
        </w:rPr>
      </w:pPr>
      <w:bookmarkStart w:id="2" w:name="_Hlk511809646"/>
      <w:r>
        <w:rPr>
          <w:rFonts w:ascii="Trebuchet MS" w:hAnsi="Trebuchet MS" w:eastAsia="Tahoma" w:cs="Times New Roman"/>
          <w:bCs/>
          <w:color w:val="000000"/>
          <w:sz w:val="20"/>
          <w:szCs w:val="20"/>
          <w:highlight w:val="none"/>
          <w:shd w:val="clear" w:color="auto" w:fill="FFFFFF"/>
          <w:lang w:eastAsia="pl-PL"/>
        </w:rPr>
        <w:t xml:space="preserve">Zamówienie jest współfinansowane przez </w:t>
      </w:r>
      <w:r>
        <w:rPr>
          <w:rFonts w:hint="default" w:ascii="Trebuchet MS" w:hAnsi="Trebuchet MS" w:eastAsia="Tahoma" w:cs="Times New Roman"/>
          <w:bCs/>
          <w:color w:val="000000"/>
          <w:sz w:val="20"/>
          <w:szCs w:val="20"/>
          <w:highlight w:val="none"/>
          <w:shd w:val="clear" w:color="auto" w:fill="FFFFFF"/>
          <w:lang w:val="en-US" w:eastAsia="pl-PL"/>
        </w:rPr>
        <w:t>Narodowy Fundusz Ochrony Środowiska i Gospodarki Wodnej w Krakowie</w:t>
      </w:r>
      <w:r>
        <w:rPr>
          <w:rFonts w:ascii="Trebuchet MS" w:hAnsi="Trebuchet MS" w:eastAsia="Tahoma" w:cs="Times New Roman"/>
          <w:bCs/>
          <w:color w:val="000000"/>
          <w:sz w:val="20"/>
          <w:szCs w:val="20"/>
          <w:highlight w:val="none"/>
          <w:shd w:val="clear" w:color="auto" w:fill="FFFFFF"/>
          <w:lang w:eastAsia="pl-PL"/>
        </w:rPr>
        <w:t xml:space="preserve"> ze środków</w:t>
      </w:r>
      <w:r>
        <w:rPr>
          <w:rFonts w:ascii="Trebuchet MS" w:hAnsi="Trebuchet MS" w:eastAsia="Tahoma" w:cs="Times New Roman"/>
          <w:bCs/>
          <w:color w:val="000000"/>
          <w:sz w:val="20"/>
          <w:szCs w:val="20"/>
          <w:highlight w:val="none"/>
          <w:lang w:eastAsia="pl-PL"/>
        </w:rPr>
        <w:t xml:space="preserve"> </w:t>
      </w:r>
      <w:r>
        <w:rPr>
          <w:rFonts w:hint="default" w:ascii="Trebuchet MS" w:hAnsi="Trebuchet MS" w:eastAsia="Tahoma" w:cs="Times New Roman"/>
          <w:bCs/>
          <w:color w:val="000000"/>
          <w:sz w:val="20"/>
          <w:szCs w:val="20"/>
          <w:highlight w:val="none"/>
          <w:lang w:val="en-US" w:eastAsia="pl-PL"/>
        </w:rPr>
        <w:t>WFOŚiGW</w:t>
      </w:r>
      <w:r>
        <w:rPr>
          <w:rFonts w:ascii="Trebuchet MS" w:hAnsi="Trebuchet MS" w:eastAsia="Tahoma" w:cs="Times New Roman"/>
          <w:bCs/>
          <w:color w:val="000000"/>
          <w:sz w:val="20"/>
          <w:szCs w:val="20"/>
          <w:highlight w:val="none"/>
          <w:shd w:val="clear" w:color="auto" w:fill="FFFFFF"/>
          <w:lang w:eastAsia="pl-PL"/>
        </w:rPr>
        <w:t xml:space="preserve"> </w:t>
      </w:r>
      <w:r>
        <w:rPr>
          <w:rFonts w:hint="default" w:ascii="Trebuchet MS" w:hAnsi="Trebuchet MS" w:eastAsia="Tahoma" w:cs="Times New Roman"/>
          <w:bCs/>
          <w:color w:val="000000"/>
          <w:sz w:val="20"/>
          <w:szCs w:val="20"/>
          <w:highlight w:val="none"/>
          <w:shd w:val="clear" w:color="auto" w:fill="FFFFFF"/>
          <w:lang w:val="en-US" w:eastAsia="pl-PL"/>
        </w:rPr>
        <w:t xml:space="preserve">w Krakowie </w:t>
      </w:r>
      <w:r>
        <w:rPr>
          <w:rFonts w:ascii="Trebuchet MS" w:hAnsi="Trebuchet MS" w:eastAsia="Tahoma" w:cs="Times New Roman"/>
          <w:bCs/>
          <w:color w:val="000000"/>
          <w:sz w:val="20"/>
          <w:szCs w:val="20"/>
          <w:highlight w:val="none"/>
          <w:shd w:val="clear" w:color="auto" w:fill="FFFFFF"/>
          <w:lang w:eastAsia="pl-PL"/>
        </w:rPr>
        <w:t xml:space="preserve">w ramach projektu pn. </w:t>
      </w:r>
      <w:r>
        <w:rPr>
          <w:rFonts w:ascii="Trebuchet MS" w:hAnsi="Trebuchet MS" w:eastAsia="Times New Roman" w:cs="Times New Roman"/>
          <w:i/>
          <w:iCs/>
          <w:sz w:val="20"/>
          <w:szCs w:val="20"/>
          <w:highlight w:val="none"/>
          <w:lang w:eastAsia="pl-PL"/>
        </w:rPr>
        <w:t>„</w:t>
      </w:r>
      <w:r>
        <w:rPr>
          <w:rFonts w:hint="default" w:ascii="Trebuchet MS" w:hAnsi="Trebuchet MS" w:eastAsia="Times New Roman" w:cs="Times New Roman"/>
          <w:i/>
          <w:iCs/>
          <w:sz w:val="20"/>
          <w:szCs w:val="20"/>
          <w:highlight w:val="none"/>
          <w:lang w:val="en-US" w:eastAsia="pl-PL"/>
        </w:rPr>
        <w:t xml:space="preserve"> Usuwanie wyrobów zawierających azbest w gospodarstwach rolnych z terenu Gminy Wolbrom” w ramach  programu „Ogólnopolski Program Finansowania Wyrobów Zawierających Azbest  Część 2) Przedsięwzięcie w zakresie zbierania, transportu oraz unieszkodliwiania odpadów zawierających azbest realizowane w gospodarstwach rolnych”</w:t>
      </w:r>
      <w:r>
        <w:rPr>
          <w:rFonts w:ascii="Trebuchet MS" w:hAnsi="Trebuchet MS" w:eastAsia="Times New Roman" w:cs="Times New Roman"/>
          <w:i/>
          <w:iCs/>
          <w:sz w:val="20"/>
          <w:szCs w:val="20"/>
          <w:highlight w:val="none"/>
          <w:lang w:eastAsia="pl-PL"/>
        </w:rPr>
        <w:t>.</w:t>
      </w:r>
    </w:p>
    <w:bookmarkEnd w:id="2"/>
    <w:p w14:paraId="5F9B2F8B">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p>
    <w:p w14:paraId="0A3F11A4">
      <w:pPr>
        <w:numPr>
          <w:ilvl w:val="0"/>
          <w:numId w:val="2"/>
        </w:numPr>
        <w:spacing w:after="0" w:line="240" w:lineRule="auto"/>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Ponadto Wykonawca w ramach oferty zapewnia również:</w:t>
      </w:r>
    </w:p>
    <w:p w14:paraId="4D10AEE6">
      <w:pPr>
        <w:spacing w:after="0" w:line="240" w:lineRule="auto"/>
        <w:ind w:left="360"/>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 dostosowanie sprzętu do załadunku oraz pojazdów do odpadów zawierających azbest znajdujących się na nieruchomościach z ograniczonym dojazdem,</w:t>
      </w:r>
    </w:p>
    <w:p w14:paraId="0AC20313">
      <w:pPr>
        <w:spacing w:after="0" w:line="240" w:lineRule="auto"/>
        <w:ind w:left="360"/>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 xml:space="preserve">- zapewnienie opakowań typu np.  big-bag lub równoważnych w przypadku, gdy właściciel nieruchomości zgłosi takie zapotrzebowanie,  </w:t>
      </w:r>
    </w:p>
    <w:p w14:paraId="44B57310">
      <w:pPr>
        <w:spacing w:after="0" w:line="240" w:lineRule="auto"/>
        <w:ind w:firstLine="36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naprawę na własny koszt wszelkich szkód powstałych w wyniku prowadzonych prac.</w:t>
      </w:r>
    </w:p>
    <w:p w14:paraId="32E3C7FD">
      <w:pPr>
        <w:numPr>
          <w:ilvl w:val="0"/>
          <w:numId w:val="2"/>
        </w:numPr>
        <w:spacing w:after="0" w:line="240" w:lineRule="auto"/>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Wykonanie powyższych zadań zrealizowane być winno według zasad określonych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w prawie w szczególności: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 ustawy z dnia 27 kwietnia 2001 r. – Prawo ochrony środowiska,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 ustawy z dnia 14 grudnia 2012 r. o odpadach,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ustawy z dnia 19 czerwca 1997 r. o zakazie stosowania wyrobów zawierających azbest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oraz wydanych na ich podstawie rozporządzeniach wykonawczych i innych przepisów prawa dotyczących usuwania wyrobów zawierających azbest.</w:t>
      </w:r>
    </w:p>
    <w:p w14:paraId="3A74ED6E">
      <w:pPr>
        <w:numPr>
          <w:ilvl w:val="0"/>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u w:val="single"/>
          <w:lang w:eastAsia="pl-PL"/>
        </w:rPr>
        <w:t>Zatrudnianie osób na umowę o pracę przy wykonywaniu przedmiotu zamówienia</w:t>
      </w:r>
      <w:r>
        <w:rPr>
          <w:rFonts w:ascii="Trebuchet MS" w:hAnsi="Trebuchet MS" w:eastAsia="Times New Roman" w:cs="Times New Roman"/>
          <w:sz w:val="20"/>
          <w:szCs w:val="20"/>
          <w:lang w:eastAsia="pl-PL"/>
        </w:rPr>
        <w:t>:</w:t>
      </w:r>
    </w:p>
    <w:p w14:paraId="70EEE9F2">
      <w:pPr>
        <w:pStyle w:val="19"/>
        <w:ind w:left="360"/>
        <w:jc w:val="both"/>
        <w:rPr>
          <w:rFonts w:ascii="Trebuchet MS" w:hAnsi="Trebuchet MS"/>
        </w:rPr>
      </w:pPr>
      <w:r>
        <w:rPr>
          <w:rFonts w:ascii="Trebuchet MS" w:hAnsi="Trebuchet MS"/>
        </w:rPr>
        <w:t>Wykonawca lub podwykonawca, wykonujący czynności w zakresie realizacji zamówienia jest zobowiązany do zatrudnienia osób na podstawie umowy o pracę, tj. osób wykonujących czynności w ramach niniejszego zamówienia, gdzie wykonanie tych czynności polega na wykonywaniu pracy</w:t>
      </w:r>
      <w:r>
        <w:rPr>
          <w:rFonts w:hint="default" w:ascii="Trebuchet MS" w:hAnsi="Trebuchet MS"/>
          <w:lang w:val="pl-PL"/>
        </w:rPr>
        <w:t xml:space="preserve"> </w:t>
      </w:r>
      <w:r>
        <w:rPr>
          <w:rFonts w:ascii="Trebuchet MS" w:hAnsi="Trebuchet MS"/>
        </w:rPr>
        <w:t>w sposób określony w art. 22 § 1 ustawy z dnia 26 czerwca 1974 r. Kodeks pracy (tekst jednolity: Dz. U. z 202</w:t>
      </w:r>
      <w:r>
        <w:rPr>
          <w:rFonts w:hint="default" w:ascii="Trebuchet MS" w:hAnsi="Trebuchet MS"/>
          <w:lang w:val="pl-PL"/>
        </w:rPr>
        <w:t>3</w:t>
      </w:r>
      <w:r>
        <w:rPr>
          <w:rFonts w:ascii="Trebuchet MS" w:hAnsi="Trebuchet MS"/>
        </w:rPr>
        <w:t xml:space="preserve"> r. poz. 1</w:t>
      </w:r>
      <w:r>
        <w:rPr>
          <w:rFonts w:hint="default" w:ascii="Trebuchet MS" w:hAnsi="Trebuchet MS"/>
          <w:lang w:val="pl-PL"/>
        </w:rPr>
        <w:t>465</w:t>
      </w:r>
      <w:r>
        <w:rPr>
          <w:rFonts w:ascii="Trebuchet MS" w:hAnsi="Trebuchet MS"/>
        </w:rPr>
        <w:t xml:space="preserve"> z późn. zm.). Na Wykonawcy ciąży obowiązek zapewnienia, aby również podwykonawcy spełniali wszystkie wymogi względem osób zatrudnionych na umowę o pracę. Wymóg zatrudnienia na umowę o pracę dotyczy osób, które wykonują czynności bezpośrednio związane z wykonywaniem robót, czyli </w:t>
      </w:r>
      <w:r>
        <w:rPr>
          <w:rFonts w:hint="default" w:ascii="Trebuchet MS" w:hAnsi="Trebuchet MS"/>
          <w:b/>
          <w:bCs/>
          <w:lang w:val="pl-PL"/>
        </w:rPr>
        <w:t>kierowcy i osoby zajmujące się załadunkiem odpadów niebezpiecznych</w:t>
      </w:r>
      <w:r>
        <w:rPr>
          <w:rFonts w:ascii="Trebuchet MS" w:hAnsi="Trebuchet MS"/>
        </w:rPr>
        <w:t xml:space="preserve">. Wymóg nie dotyczy więc, miedzy innymi osób: wykonujących usługi transportowe, osób fizycznych prowadzących działalność gospodarczą, urzędujących członków organów zarządzających lub nadzorczych Wykonawcy, wspólników spółki jawnej lub partnerskiej w zakresie, w jakim będą wykonywać osobiście prace na rzecz Zamawiającego bądź Wykonawcy. </w:t>
      </w:r>
    </w:p>
    <w:p w14:paraId="1A2201B7">
      <w:pPr>
        <w:pStyle w:val="19"/>
        <w:ind w:left="360"/>
        <w:jc w:val="both"/>
        <w:rPr>
          <w:rFonts w:ascii="Trebuchet MS" w:hAnsi="Trebuchet MS"/>
        </w:rPr>
      </w:pPr>
      <w:r>
        <w:rPr>
          <w:rFonts w:ascii="Trebuchet MS" w:hAnsi="Trebuchet MS"/>
        </w:rPr>
        <w:t xml:space="preserve">Wymagania dotyczące sposobu dokumentowania zatrudnienia osób na umowę o pracę, uprawnienia kontrolne Zamawiającego oraz sankcje z tytułu braku zatrudniania osób na umowę </w:t>
      </w:r>
      <w:r>
        <w:rPr>
          <w:rFonts w:ascii="Trebuchet MS" w:hAnsi="Trebuchet MS"/>
        </w:rPr>
        <w:br w:type="textWrapping"/>
      </w:r>
      <w:r>
        <w:rPr>
          <w:rFonts w:ascii="Trebuchet MS" w:hAnsi="Trebuchet MS"/>
        </w:rPr>
        <w:t>o pracę zostały szczegółowo określone w projektowanych postanowieniach umowy stanowiącym załącznik nr 5 do SWZ.</w:t>
      </w:r>
    </w:p>
    <w:p w14:paraId="2A29E60A">
      <w:pPr>
        <w:numPr>
          <w:ilvl w:val="0"/>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xml:space="preserve">Wspólny Słownik Zamówień (CPV): </w:t>
      </w:r>
    </w:p>
    <w:p w14:paraId="6D3FA5F4">
      <w:pPr>
        <w:spacing w:after="0" w:line="240" w:lineRule="auto"/>
        <w:ind w:firstLine="360"/>
        <w:jc w:val="both"/>
        <w:rPr>
          <w:rFonts w:ascii="Trebuchet MS" w:hAnsi="Trebuchet MS" w:eastAsia="Times New Roman" w:cs="Times New Roman"/>
          <w:b/>
          <w:bCs/>
          <w:sz w:val="20"/>
          <w:szCs w:val="20"/>
          <w:lang w:eastAsia="pl-PL"/>
        </w:rPr>
      </w:pPr>
      <w:r>
        <w:rPr>
          <w:rFonts w:ascii="Trebuchet MS" w:hAnsi="Trebuchet MS" w:eastAsia="Times New Roman" w:cs="Times New Roman"/>
          <w:b/>
          <w:bCs/>
          <w:sz w:val="20"/>
          <w:szCs w:val="20"/>
          <w:lang w:eastAsia="pl-PL"/>
        </w:rPr>
        <w:t>Przedmiot główny:</w:t>
      </w:r>
    </w:p>
    <w:p w14:paraId="20DA171A">
      <w:pPr>
        <w:spacing w:after="0" w:line="240" w:lineRule="auto"/>
        <w:ind w:firstLine="360"/>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90.65.00.00-8 - Usługi usuwania azbestu.</w:t>
      </w:r>
    </w:p>
    <w:p w14:paraId="205709B6">
      <w:pPr>
        <w:spacing w:after="0" w:line="240" w:lineRule="auto"/>
        <w:ind w:firstLine="360"/>
        <w:jc w:val="both"/>
        <w:rPr>
          <w:rFonts w:ascii="Trebuchet MS" w:hAnsi="Trebuchet MS" w:eastAsia="Times New Roman" w:cs="Times New Roman"/>
          <w:b/>
          <w:bCs/>
          <w:sz w:val="20"/>
          <w:szCs w:val="20"/>
          <w:lang w:eastAsia="pl-PL"/>
        </w:rPr>
      </w:pPr>
      <w:r>
        <w:rPr>
          <w:rFonts w:ascii="Trebuchet MS" w:hAnsi="Trebuchet MS" w:eastAsia="Times New Roman" w:cs="Times New Roman"/>
          <w:b/>
          <w:bCs/>
          <w:sz w:val="20"/>
          <w:szCs w:val="20"/>
          <w:lang w:eastAsia="pl-PL"/>
        </w:rPr>
        <w:t>Przedmioty dodatkowe:</w:t>
      </w:r>
    </w:p>
    <w:p w14:paraId="6BF70910">
      <w:pPr>
        <w:spacing w:after="0" w:line="240" w:lineRule="auto"/>
        <w:ind w:firstLine="360"/>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90.51.20.00-9 - Usługi transportu odpadów,</w:t>
      </w:r>
    </w:p>
    <w:p w14:paraId="1318D5F4">
      <w:pPr>
        <w:numPr>
          <w:ilvl w:val="0"/>
          <w:numId w:val="2"/>
        </w:numPr>
        <w:spacing w:after="0" w:line="240" w:lineRule="auto"/>
        <w:jc w:val="both"/>
        <w:rPr>
          <w:rFonts w:ascii="Trebuchet MS" w:hAnsi="Trebuchet MS" w:cs="Arial"/>
          <w:sz w:val="20"/>
          <w:szCs w:val="20"/>
        </w:rPr>
      </w:pPr>
      <w:r>
        <w:rPr>
          <w:rFonts w:ascii="Trebuchet MS" w:hAnsi="Trebuchet MS" w:eastAsia="Times New Roman" w:cs="Times New Roman"/>
          <w:sz w:val="20"/>
          <w:szCs w:val="20"/>
          <w:lang w:eastAsia="pl-PL"/>
        </w:rPr>
        <w:t>Tam, gdzie w opisie przedmiotu zamówienia (czy dokumentacji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Zamawiający zgodnie z art. 99 ust. 4 i art. 101 ust. 4 ustawy, dopuszcza zaoferowanie rozwiązań równoważnych w stosunku do wskazanych w opisie przedmiotu zamówienia (dokumentacji zamówienia) pod warunkiem, że zapewnią uzyskanie parametrów  nie gorszych od założonych w dokumentacji zamówienia.</w:t>
      </w:r>
    </w:p>
    <w:p w14:paraId="0FFD9112">
      <w:pPr>
        <w:spacing w:line="288" w:lineRule="auto"/>
        <w:jc w:val="both"/>
        <w:rPr>
          <w:rFonts w:ascii="Trebuchet MS" w:hAnsi="Trebuchet MS"/>
          <w:highlight w:val="yellow"/>
        </w:rPr>
      </w:pPr>
    </w:p>
    <w:p w14:paraId="70C8284D">
      <w:pPr>
        <w:spacing w:line="288" w:lineRule="auto"/>
        <w:jc w:val="both"/>
        <w:rPr>
          <w:rFonts w:ascii="Trebuchet MS" w:hAnsi="Trebuchet MS"/>
          <w:highlight w:val="yellow"/>
        </w:rPr>
      </w:pPr>
    </w:p>
    <w:p w14:paraId="259A9F96">
      <w:pPr>
        <w:spacing w:line="288" w:lineRule="auto"/>
        <w:jc w:val="both"/>
        <w:rPr>
          <w:rFonts w:ascii="Trebuchet MS" w:hAnsi="Trebuchet MS"/>
          <w:b/>
          <w:bCs/>
          <w:highlight w:val="yellow"/>
        </w:rPr>
      </w:pPr>
    </w:p>
    <w:sectPr>
      <w:headerReference r:id="rId5" w:type="default"/>
      <w:footerReference r:id="rId6" w:type="default"/>
      <w:pgSz w:w="11906" w:h="16838"/>
      <w:pgMar w:top="667" w:right="1417" w:bottom="1276" w:left="1417" w:header="48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 w:name="Liberation Sans">
    <w:altName w:val="Segoe Print"/>
    <w:panose1 w:val="020B0604020202020204"/>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38085"/>
      <w:docPartObj>
        <w:docPartGallery w:val="autotext"/>
      </w:docPartObj>
    </w:sdtPr>
    <w:sdtContent>
      <w:p w14:paraId="2AA5FA6E">
        <w:pPr>
          <w:pStyle w:val="7"/>
          <w:jc w:val="right"/>
        </w:pPr>
        <w:r>
          <w:fldChar w:fldCharType="begin"/>
        </w:r>
        <w:r>
          <w:instrText xml:space="preserve">PAGE   \* MERGEFORMAT</w:instrText>
        </w:r>
        <w:r>
          <w:fldChar w:fldCharType="separate"/>
        </w:r>
        <w:r>
          <w:t>11</w:t>
        </w:r>
        <w:r>
          <w:fldChar w:fldCharType="end"/>
        </w:r>
      </w:p>
    </w:sdtContent>
  </w:sdt>
  <w:p w14:paraId="450D052E">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BDB155">
    <w:pPr>
      <w:pStyle w:val="9"/>
      <w:jc w:val="center"/>
    </w:pPr>
    <w:r>
      <w:rPr>
        <w:rFonts w:ascii="SimSun" w:hAnsi="SimSun" w:eastAsia="SimSun" w:cs="SimSun"/>
        <w:sz w:val="24"/>
        <w:szCs w:val="24"/>
      </w:rPr>
      <w:drawing>
        <wp:inline distT="0" distB="0" distL="114300" distR="114300">
          <wp:extent cx="1460500" cy="923290"/>
          <wp:effectExtent l="0" t="0" r="6350" b="10160"/>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1"/>
                  <a:stretch>
                    <a:fillRect/>
                  </a:stretch>
                </pic:blipFill>
                <pic:spPr>
                  <a:xfrm>
                    <a:off x="0" y="0"/>
                    <a:ext cx="1460500" cy="923290"/>
                  </a:xfrm>
                  <a:prstGeom prst="rect">
                    <a:avLst/>
                  </a:prstGeom>
                  <a:noFill/>
                  <a:ln w="9525">
                    <a:noFill/>
                  </a:ln>
                </pic:spPr>
              </pic:pic>
            </a:graphicData>
          </a:graphic>
        </wp:inline>
      </w:drawing>
    </w:r>
    <w:r>
      <w:rPr>
        <w:rFonts w:hint="default" w:ascii="SimSun" w:hAnsi="SimSun" w:eastAsia="SimSun" w:cs="SimSun"/>
        <w:sz w:val="24"/>
        <w:szCs w:val="24"/>
        <w:lang w:val="pl-PL"/>
      </w:rPr>
      <w:tab/>
    </w:r>
    <w:r>
      <w:rPr>
        <w:rFonts w:hint="default" w:ascii="SimSun" w:hAnsi="SimSun" w:eastAsia="SimSun" w:cs="SimSun"/>
        <w:sz w:val="24"/>
        <w:szCs w:val="24"/>
        <w:lang w:val="pl-PL"/>
      </w:rPr>
      <w:tab/>
    </w:r>
    <w:r>
      <w:rPr>
        <w:rFonts w:ascii="SimSun" w:hAnsi="SimSun" w:eastAsia="SimSun" w:cs="SimSun"/>
        <w:sz w:val="24"/>
        <w:szCs w:val="24"/>
      </w:rPr>
      <w:drawing>
        <wp:inline distT="0" distB="0" distL="114300" distR="114300">
          <wp:extent cx="1645285" cy="1000760"/>
          <wp:effectExtent l="0" t="0" r="12065" b="889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ic:cNvPicPr>
                    <a:picLocks noChangeAspect="1"/>
                  </pic:cNvPicPr>
                </pic:nvPicPr>
                <pic:blipFill>
                  <a:blip r:embed="rId2"/>
                  <a:stretch>
                    <a:fillRect/>
                  </a:stretch>
                </pic:blipFill>
                <pic:spPr>
                  <a:xfrm>
                    <a:off x="0" y="0"/>
                    <a:ext cx="1645285" cy="100076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F77CA"/>
    <w:multiLevelType w:val="multilevel"/>
    <w:tmpl w:val="04EF77CA"/>
    <w:lvl w:ilvl="0" w:tentative="0">
      <w:start w:val="1"/>
      <w:numFmt w:val="decimal"/>
      <w:lvlText w:val="%1."/>
      <w:lvlJc w:val="left"/>
      <w:pPr>
        <w:ind w:left="360" w:hanging="360"/>
      </w:pPr>
      <w:rPr>
        <w:rFonts w:hint="default"/>
      </w:rPr>
    </w:lvl>
    <w:lvl w:ilvl="1" w:tentative="0">
      <w:start w:val="1"/>
      <w:numFmt w:val="decimal"/>
      <w:lvlText w:val="%2)"/>
      <w:lvlJc w:val="left"/>
      <w:pPr>
        <w:ind w:left="792" w:hanging="432"/>
      </w:pPr>
      <w:rPr>
        <w:rFonts w:hint="default" w:ascii="Trebuchet MS" w:hAnsi="Trebuchet MS" w:eastAsia="Times New Roman" w:cs="Times New Roman"/>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2305351E"/>
    <w:multiLevelType w:val="multilevel"/>
    <w:tmpl w:val="230535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3"/>
    <w:rsid w:val="00016522"/>
    <w:rsid w:val="00020EE2"/>
    <w:rsid w:val="000236BD"/>
    <w:rsid w:val="0003295B"/>
    <w:rsid w:val="00034B40"/>
    <w:rsid w:val="00034EFF"/>
    <w:rsid w:val="00054EC8"/>
    <w:rsid w:val="00055711"/>
    <w:rsid w:val="00063F3F"/>
    <w:rsid w:val="00070372"/>
    <w:rsid w:val="000708C3"/>
    <w:rsid w:val="00072234"/>
    <w:rsid w:val="00077229"/>
    <w:rsid w:val="00081A7C"/>
    <w:rsid w:val="000874D5"/>
    <w:rsid w:val="000A21B3"/>
    <w:rsid w:val="000A4EB2"/>
    <w:rsid w:val="000A522A"/>
    <w:rsid w:val="000B6623"/>
    <w:rsid w:val="000C0F45"/>
    <w:rsid w:val="000C1ECF"/>
    <w:rsid w:val="000C25A4"/>
    <w:rsid w:val="000D1505"/>
    <w:rsid w:val="000D41E5"/>
    <w:rsid w:val="000D6415"/>
    <w:rsid w:val="000D7179"/>
    <w:rsid w:val="000E026D"/>
    <w:rsid w:val="000E0998"/>
    <w:rsid w:val="000E6713"/>
    <w:rsid w:val="001019FF"/>
    <w:rsid w:val="001051D3"/>
    <w:rsid w:val="00113F2D"/>
    <w:rsid w:val="00122B04"/>
    <w:rsid w:val="001235C8"/>
    <w:rsid w:val="001236C2"/>
    <w:rsid w:val="001240FB"/>
    <w:rsid w:val="00124B5C"/>
    <w:rsid w:val="00144F57"/>
    <w:rsid w:val="00153514"/>
    <w:rsid w:val="001732DC"/>
    <w:rsid w:val="00186E2E"/>
    <w:rsid w:val="001A40AA"/>
    <w:rsid w:val="001B4558"/>
    <w:rsid w:val="001B531B"/>
    <w:rsid w:val="001E6FB8"/>
    <w:rsid w:val="001F0244"/>
    <w:rsid w:val="001F6757"/>
    <w:rsid w:val="00205B0C"/>
    <w:rsid w:val="00220A2D"/>
    <w:rsid w:val="0023460C"/>
    <w:rsid w:val="00237A82"/>
    <w:rsid w:val="002402E6"/>
    <w:rsid w:val="002431C2"/>
    <w:rsid w:val="00243FB2"/>
    <w:rsid w:val="00267999"/>
    <w:rsid w:val="00272BEF"/>
    <w:rsid w:val="002759F6"/>
    <w:rsid w:val="00276E50"/>
    <w:rsid w:val="002B46A4"/>
    <w:rsid w:val="002D3814"/>
    <w:rsid w:val="002F2545"/>
    <w:rsid w:val="00341768"/>
    <w:rsid w:val="00345547"/>
    <w:rsid w:val="00345A2C"/>
    <w:rsid w:val="00352A06"/>
    <w:rsid w:val="00354D16"/>
    <w:rsid w:val="003670A7"/>
    <w:rsid w:val="003710FA"/>
    <w:rsid w:val="00373D6D"/>
    <w:rsid w:val="00375CCB"/>
    <w:rsid w:val="003B75DC"/>
    <w:rsid w:val="003D1594"/>
    <w:rsid w:val="003F1F68"/>
    <w:rsid w:val="003F72F6"/>
    <w:rsid w:val="003F7F7D"/>
    <w:rsid w:val="00414DB2"/>
    <w:rsid w:val="00420014"/>
    <w:rsid w:val="00423BEB"/>
    <w:rsid w:val="004619CB"/>
    <w:rsid w:val="00463180"/>
    <w:rsid w:val="004A39C2"/>
    <w:rsid w:val="004D31C0"/>
    <w:rsid w:val="004E3104"/>
    <w:rsid w:val="004E5C0A"/>
    <w:rsid w:val="004E65C7"/>
    <w:rsid w:val="004F0FEF"/>
    <w:rsid w:val="005109A7"/>
    <w:rsid w:val="00515105"/>
    <w:rsid w:val="0052074F"/>
    <w:rsid w:val="00533DD6"/>
    <w:rsid w:val="00565C0B"/>
    <w:rsid w:val="005865A8"/>
    <w:rsid w:val="005B3A80"/>
    <w:rsid w:val="005E5B86"/>
    <w:rsid w:val="005F2C38"/>
    <w:rsid w:val="005F5D6A"/>
    <w:rsid w:val="00611CFA"/>
    <w:rsid w:val="006212C0"/>
    <w:rsid w:val="00633D30"/>
    <w:rsid w:val="006374A6"/>
    <w:rsid w:val="0066646C"/>
    <w:rsid w:val="00671B10"/>
    <w:rsid w:val="00672ED1"/>
    <w:rsid w:val="00691D61"/>
    <w:rsid w:val="006A0586"/>
    <w:rsid w:val="006A2668"/>
    <w:rsid w:val="006A3A18"/>
    <w:rsid w:val="006A52E4"/>
    <w:rsid w:val="006B01D3"/>
    <w:rsid w:val="006B77F1"/>
    <w:rsid w:val="006D2C88"/>
    <w:rsid w:val="006F2EEA"/>
    <w:rsid w:val="006F6A07"/>
    <w:rsid w:val="00703972"/>
    <w:rsid w:val="00712E55"/>
    <w:rsid w:val="0072201A"/>
    <w:rsid w:val="007242BB"/>
    <w:rsid w:val="007253B2"/>
    <w:rsid w:val="00727B8B"/>
    <w:rsid w:val="00745BC9"/>
    <w:rsid w:val="00764A94"/>
    <w:rsid w:val="00766948"/>
    <w:rsid w:val="00767EEB"/>
    <w:rsid w:val="00774BC3"/>
    <w:rsid w:val="00777E6E"/>
    <w:rsid w:val="00793DF2"/>
    <w:rsid w:val="007A0CC0"/>
    <w:rsid w:val="007B1044"/>
    <w:rsid w:val="007B6671"/>
    <w:rsid w:val="007E4BE5"/>
    <w:rsid w:val="007E60C7"/>
    <w:rsid w:val="0084146F"/>
    <w:rsid w:val="0084309D"/>
    <w:rsid w:val="00861D28"/>
    <w:rsid w:val="0086276B"/>
    <w:rsid w:val="0087158C"/>
    <w:rsid w:val="008764C7"/>
    <w:rsid w:val="00884F8B"/>
    <w:rsid w:val="00892299"/>
    <w:rsid w:val="008926ED"/>
    <w:rsid w:val="00894825"/>
    <w:rsid w:val="008A5DEC"/>
    <w:rsid w:val="008B6C03"/>
    <w:rsid w:val="008D7CE5"/>
    <w:rsid w:val="008F55D7"/>
    <w:rsid w:val="009023C3"/>
    <w:rsid w:val="0090622E"/>
    <w:rsid w:val="009151BF"/>
    <w:rsid w:val="009267E1"/>
    <w:rsid w:val="009347D2"/>
    <w:rsid w:val="00937C6B"/>
    <w:rsid w:val="00972827"/>
    <w:rsid w:val="00977E7B"/>
    <w:rsid w:val="00977E82"/>
    <w:rsid w:val="009840D7"/>
    <w:rsid w:val="009A13EB"/>
    <w:rsid w:val="009A61CF"/>
    <w:rsid w:val="009B0100"/>
    <w:rsid w:val="009C3339"/>
    <w:rsid w:val="009C565E"/>
    <w:rsid w:val="009F39DE"/>
    <w:rsid w:val="00A1405A"/>
    <w:rsid w:val="00A41B88"/>
    <w:rsid w:val="00A5552B"/>
    <w:rsid w:val="00A62C1A"/>
    <w:rsid w:val="00A721FB"/>
    <w:rsid w:val="00A76404"/>
    <w:rsid w:val="00A86861"/>
    <w:rsid w:val="00A961C6"/>
    <w:rsid w:val="00AA1473"/>
    <w:rsid w:val="00AA6747"/>
    <w:rsid w:val="00AA68A9"/>
    <w:rsid w:val="00AC488A"/>
    <w:rsid w:val="00AE7E78"/>
    <w:rsid w:val="00AF79E6"/>
    <w:rsid w:val="00B00310"/>
    <w:rsid w:val="00B14D6D"/>
    <w:rsid w:val="00B25524"/>
    <w:rsid w:val="00B27854"/>
    <w:rsid w:val="00B37CD6"/>
    <w:rsid w:val="00B419CA"/>
    <w:rsid w:val="00B50600"/>
    <w:rsid w:val="00B760A0"/>
    <w:rsid w:val="00B80318"/>
    <w:rsid w:val="00B95A4B"/>
    <w:rsid w:val="00BA4B4E"/>
    <w:rsid w:val="00BA4D0E"/>
    <w:rsid w:val="00BB07B7"/>
    <w:rsid w:val="00BB23E1"/>
    <w:rsid w:val="00BC4731"/>
    <w:rsid w:val="00BD7B2C"/>
    <w:rsid w:val="00BF231F"/>
    <w:rsid w:val="00BF66F3"/>
    <w:rsid w:val="00C17ECE"/>
    <w:rsid w:val="00C17F55"/>
    <w:rsid w:val="00C5721D"/>
    <w:rsid w:val="00C9524D"/>
    <w:rsid w:val="00CA0D1C"/>
    <w:rsid w:val="00CA1D75"/>
    <w:rsid w:val="00CA393C"/>
    <w:rsid w:val="00CB7C21"/>
    <w:rsid w:val="00CC0D31"/>
    <w:rsid w:val="00CC5A4F"/>
    <w:rsid w:val="00CD097F"/>
    <w:rsid w:val="00CE4CF8"/>
    <w:rsid w:val="00D0476F"/>
    <w:rsid w:val="00D077FA"/>
    <w:rsid w:val="00D115FF"/>
    <w:rsid w:val="00D3042E"/>
    <w:rsid w:val="00D31868"/>
    <w:rsid w:val="00D66BF7"/>
    <w:rsid w:val="00D82E60"/>
    <w:rsid w:val="00D91526"/>
    <w:rsid w:val="00D9343C"/>
    <w:rsid w:val="00DA77F4"/>
    <w:rsid w:val="00DB1A25"/>
    <w:rsid w:val="00E169C9"/>
    <w:rsid w:val="00E502CC"/>
    <w:rsid w:val="00E73979"/>
    <w:rsid w:val="00E74F6E"/>
    <w:rsid w:val="00E76215"/>
    <w:rsid w:val="00EA01C3"/>
    <w:rsid w:val="00EA13B2"/>
    <w:rsid w:val="00EA59A8"/>
    <w:rsid w:val="00EC0582"/>
    <w:rsid w:val="00ED30ED"/>
    <w:rsid w:val="00ED7DC7"/>
    <w:rsid w:val="00EF5AA4"/>
    <w:rsid w:val="00EF5B85"/>
    <w:rsid w:val="00EF62FE"/>
    <w:rsid w:val="00EF662F"/>
    <w:rsid w:val="00F05DC2"/>
    <w:rsid w:val="00F108AF"/>
    <w:rsid w:val="00F14979"/>
    <w:rsid w:val="00F16FF3"/>
    <w:rsid w:val="00F264E3"/>
    <w:rsid w:val="00F42E71"/>
    <w:rsid w:val="00F479C0"/>
    <w:rsid w:val="00F55D2D"/>
    <w:rsid w:val="00F56B4D"/>
    <w:rsid w:val="00F7382E"/>
    <w:rsid w:val="00F84FE2"/>
    <w:rsid w:val="00F86F5B"/>
    <w:rsid w:val="00F9034C"/>
    <w:rsid w:val="00FB2F02"/>
    <w:rsid w:val="00FC5550"/>
    <w:rsid w:val="00FC751E"/>
    <w:rsid w:val="00FD1345"/>
    <w:rsid w:val="00FD4267"/>
    <w:rsid w:val="00FE2838"/>
    <w:rsid w:val="00FF72C9"/>
    <w:rsid w:val="016908DE"/>
    <w:rsid w:val="019962ED"/>
    <w:rsid w:val="0F3142DF"/>
    <w:rsid w:val="16E704A1"/>
    <w:rsid w:val="1D623D91"/>
    <w:rsid w:val="1E0318E8"/>
    <w:rsid w:val="270F565D"/>
    <w:rsid w:val="2D260121"/>
    <w:rsid w:val="2F0B1693"/>
    <w:rsid w:val="312A215B"/>
    <w:rsid w:val="318F1997"/>
    <w:rsid w:val="3EAC52D5"/>
    <w:rsid w:val="3FB069F1"/>
    <w:rsid w:val="45B92373"/>
    <w:rsid w:val="481F1935"/>
    <w:rsid w:val="4E4E2252"/>
    <w:rsid w:val="51E26E67"/>
    <w:rsid w:val="558A3340"/>
    <w:rsid w:val="5ACD05EC"/>
    <w:rsid w:val="5DA5146C"/>
    <w:rsid w:val="60122426"/>
    <w:rsid w:val="60664DE6"/>
    <w:rsid w:val="69347624"/>
    <w:rsid w:val="6B145332"/>
    <w:rsid w:val="6B423251"/>
    <w:rsid w:val="6EB75CF6"/>
    <w:rsid w:val="7CDA507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7"/>
    <w:semiHidden/>
    <w:unhideWhenUsed/>
    <w:qFormat/>
    <w:uiPriority w:val="99"/>
    <w:pPr>
      <w:spacing w:after="0" w:line="240" w:lineRule="auto"/>
    </w:pPr>
    <w:rPr>
      <w:rFonts w:ascii="Segoe UI" w:hAnsi="Segoe UI" w:cs="Segoe UI"/>
      <w:sz w:val="18"/>
      <w:szCs w:val="18"/>
    </w:rPr>
  </w:style>
  <w:style w:type="paragraph" w:styleId="5">
    <w:name w:val="Body Text"/>
    <w:basedOn w:val="1"/>
    <w:link w:val="14"/>
    <w:qFormat/>
    <w:uiPriority w:val="0"/>
    <w:pPr>
      <w:spacing w:after="0" w:line="240" w:lineRule="auto"/>
      <w:jc w:val="both"/>
    </w:pPr>
    <w:rPr>
      <w:rFonts w:ascii="Times New Roman" w:hAnsi="Times New Roman" w:eastAsia="Times New Roman" w:cs="Times New Roman"/>
      <w:sz w:val="24"/>
      <w:szCs w:val="20"/>
      <w:lang w:eastAsia="pl-PL"/>
    </w:rPr>
  </w:style>
  <w:style w:type="paragraph" w:styleId="6">
    <w:name w:val="Body Text 3"/>
    <w:basedOn w:val="1"/>
    <w:link w:val="18"/>
    <w:qFormat/>
    <w:uiPriority w:val="0"/>
    <w:pPr>
      <w:spacing w:after="120" w:line="240" w:lineRule="auto"/>
    </w:pPr>
    <w:rPr>
      <w:rFonts w:ascii="Times New Roman" w:hAnsi="Times New Roman" w:eastAsia="Times New Roman" w:cs="Times New Roman"/>
      <w:sz w:val="16"/>
      <w:szCs w:val="16"/>
      <w:lang w:eastAsia="pl-PL"/>
    </w:rPr>
  </w:style>
  <w:style w:type="paragraph" w:styleId="7">
    <w:name w:val="footer"/>
    <w:basedOn w:val="1"/>
    <w:link w:val="17"/>
    <w:unhideWhenUsed/>
    <w:qFormat/>
    <w:uiPriority w:val="99"/>
    <w:pPr>
      <w:tabs>
        <w:tab w:val="center" w:pos="4536"/>
        <w:tab w:val="right" w:pos="9072"/>
      </w:tabs>
      <w:spacing w:after="0" w:line="240" w:lineRule="auto"/>
    </w:pPr>
  </w:style>
  <w:style w:type="paragraph" w:styleId="8">
    <w:name w:val="footnote text"/>
    <w:basedOn w:val="1"/>
    <w:link w:val="21"/>
    <w:unhideWhenUsed/>
    <w:qFormat/>
    <w:uiPriority w:val="99"/>
    <w:pPr>
      <w:spacing w:after="0" w:line="240" w:lineRule="auto"/>
    </w:pPr>
    <w:rPr>
      <w:rFonts w:ascii="Calibri" w:hAnsi="Calibri" w:eastAsia="Calibri" w:cs="Times New Roman"/>
      <w:sz w:val="20"/>
      <w:szCs w:val="20"/>
    </w:rPr>
  </w:style>
  <w:style w:type="paragraph" w:styleId="9">
    <w:name w:val="header"/>
    <w:basedOn w:val="1"/>
    <w:link w:val="16"/>
    <w:unhideWhenUsed/>
    <w:qFormat/>
    <w:uiPriority w:val="0"/>
    <w:pPr>
      <w:tabs>
        <w:tab w:val="center" w:pos="4536"/>
        <w:tab w:val="right" w:pos="9072"/>
      </w:tabs>
      <w:spacing w:after="0" w:line="240" w:lineRule="auto"/>
    </w:pPr>
  </w:style>
  <w:style w:type="character" w:styleId="10">
    <w:name w:val="Hyperlink"/>
    <w:qFormat/>
    <w:uiPriority w:val="99"/>
    <w:rPr>
      <w:color w:val="0000FF"/>
      <w:u w:val="single"/>
    </w:rPr>
  </w:style>
  <w:style w:type="paragraph" w:styleId="11">
    <w:name w:val="Normal (Web)"/>
    <w:basedOn w:val="1"/>
    <w:link w:val="15"/>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12">
    <w:name w:val="Plain Text"/>
    <w:basedOn w:val="1"/>
    <w:link w:val="24"/>
    <w:autoRedefine/>
    <w:qFormat/>
    <w:uiPriority w:val="99"/>
    <w:pPr>
      <w:spacing w:after="0" w:line="240" w:lineRule="auto"/>
    </w:pPr>
    <w:rPr>
      <w:rFonts w:ascii="Courier New" w:hAnsi="Courier New" w:eastAsia="Times New Roman" w:cs="Courier New"/>
      <w:sz w:val="20"/>
      <w:szCs w:val="20"/>
      <w:lang w:eastAsia="pl-PL"/>
    </w:rPr>
  </w:style>
  <w:style w:type="character" w:styleId="13">
    <w:name w:val="Strong"/>
    <w:qFormat/>
    <w:uiPriority w:val="99"/>
    <w:rPr>
      <w:b/>
      <w:bCs/>
    </w:rPr>
  </w:style>
  <w:style w:type="character" w:customStyle="1" w:styleId="14">
    <w:name w:val="Tekst podstawowy Znak"/>
    <w:basedOn w:val="2"/>
    <w:link w:val="5"/>
    <w:qFormat/>
    <w:uiPriority w:val="0"/>
    <w:rPr>
      <w:rFonts w:ascii="Times New Roman" w:hAnsi="Times New Roman" w:eastAsia="Times New Roman" w:cs="Times New Roman"/>
      <w:sz w:val="24"/>
      <w:szCs w:val="20"/>
      <w:lang w:eastAsia="pl-PL"/>
    </w:rPr>
  </w:style>
  <w:style w:type="character" w:customStyle="1" w:styleId="15">
    <w:name w:val="Normalny (Web) Znak"/>
    <w:link w:val="11"/>
    <w:autoRedefine/>
    <w:qFormat/>
    <w:locked/>
    <w:uiPriority w:val="99"/>
    <w:rPr>
      <w:rFonts w:ascii="Times New Roman" w:hAnsi="Times New Roman" w:eastAsia="Times New Roman" w:cs="Times New Roman"/>
      <w:sz w:val="24"/>
      <w:szCs w:val="24"/>
      <w:lang w:eastAsia="pl-PL"/>
    </w:rPr>
  </w:style>
  <w:style w:type="character" w:customStyle="1" w:styleId="16">
    <w:name w:val="Nagłówek Znak"/>
    <w:basedOn w:val="2"/>
    <w:link w:val="9"/>
    <w:qFormat/>
    <w:uiPriority w:val="0"/>
  </w:style>
  <w:style w:type="character" w:customStyle="1" w:styleId="17">
    <w:name w:val="Stopka Znak"/>
    <w:basedOn w:val="2"/>
    <w:link w:val="7"/>
    <w:qFormat/>
    <w:uiPriority w:val="99"/>
  </w:style>
  <w:style w:type="character" w:customStyle="1" w:styleId="18">
    <w:name w:val="Tekst podstawowy 3 Znak"/>
    <w:basedOn w:val="2"/>
    <w:link w:val="6"/>
    <w:qFormat/>
    <w:uiPriority w:val="0"/>
    <w:rPr>
      <w:rFonts w:ascii="Times New Roman" w:hAnsi="Times New Roman" w:eastAsia="Times New Roman" w:cs="Times New Roman"/>
      <w:sz w:val="16"/>
      <w:szCs w:val="16"/>
      <w:lang w:eastAsia="pl-PL"/>
    </w:rPr>
  </w:style>
  <w:style w:type="paragraph" w:styleId="19">
    <w:name w:val="List Paragraph"/>
    <w:basedOn w:val="1"/>
    <w:link w:val="20"/>
    <w:qFormat/>
    <w:uiPriority w:val="99"/>
    <w:pPr>
      <w:spacing w:after="0" w:line="240" w:lineRule="auto"/>
      <w:ind w:left="708"/>
    </w:pPr>
    <w:rPr>
      <w:rFonts w:ascii="Times New Roman" w:hAnsi="Times New Roman" w:eastAsia="Times New Roman" w:cs="Times New Roman"/>
      <w:sz w:val="20"/>
      <w:szCs w:val="20"/>
      <w:lang w:eastAsia="pl-PL"/>
    </w:rPr>
  </w:style>
  <w:style w:type="character" w:customStyle="1" w:styleId="20">
    <w:name w:val="Akapit z listą Znak"/>
    <w:link w:val="19"/>
    <w:qFormat/>
    <w:locked/>
    <w:uiPriority w:val="99"/>
    <w:rPr>
      <w:rFonts w:ascii="Times New Roman" w:hAnsi="Times New Roman" w:eastAsia="Times New Roman" w:cs="Times New Roman"/>
      <w:sz w:val="20"/>
      <w:szCs w:val="20"/>
      <w:lang w:eastAsia="pl-PL"/>
    </w:rPr>
  </w:style>
  <w:style w:type="character" w:customStyle="1" w:styleId="21">
    <w:name w:val="Tekst przypisu dolnego Znak"/>
    <w:basedOn w:val="2"/>
    <w:link w:val="8"/>
    <w:autoRedefine/>
    <w:qFormat/>
    <w:uiPriority w:val="99"/>
    <w:rPr>
      <w:rFonts w:ascii="Calibri" w:hAnsi="Calibri" w:eastAsia="Calibri" w:cs="Times New Roman"/>
      <w:sz w:val="20"/>
      <w:szCs w:val="20"/>
    </w:rPr>
  </w:style>
  <w:style w:type="character" w:customStyle="1" w:styleId="22">
    <w:name w:val="DeltaView Insertion"/>
    <w:autoRedefine/>
    <w:qFormat/>
    <w:uiPriority w:val="99"/>
    <w:rPr>
      <w:b/>
      <w:i/>
      <w:spacing w:val="0"/>
    </w:rPr>
  </w:style>
  <w:style w:type="paragraph" w:customStyle="1" w:styleId="23">
    <w:name w:val="Default"/>
    <w:qFormat/>
    <w:uiPriority w:val="0"/>
    <w:pPr>
      <w:autoSpaceDE w:val="0"/>
      <w:autoSpaceDN w:val="0"/>
      <w:adjustRightInd w:val="0"/>
      <w:spacing w:after="0" w:line="240" w:lineRule="auto"/>
    </w:pPr>
    <w:rPr>
      <w:rFonts w:ascii="Arial" w:hAnsi="Arial" w:eastAsia="Times New Roman" w:cs="Arial"/>
      <w:color w:val="000000"/>
      <w:sz w:val="24"/>
      <w:szCs w:val="24"/>
      <w:lang w:val="pl-PL" w:eastAsia="pl-PL" w:bidi="ar-SA"/>
    </w:rPr>
  </w:style>
  <w:style w:type="character" w:customStyle="1" w:styleId="24">
    <w:name w:val="Zwykły tekst Znak"/>
    <w:basedOn w:val="2"/>
    <w:link w:val="12"/>
    <w:qFormat/>
    <w:uiPriority w:val="99"/>
    <w:rPr>
      <w:rFonts w:ascii="Courier New" w:hAnsi="Courier New" w:eastAsia="Times New Roman" w:cs="Courier New"/>
      <w:sz w:val="20"/>
      <w:szCs w:val="20"/>
      <w:lang w:eastAsia="pl-PL"/>
    </w:rPr>
  </w:style>
  <w:style w:type="paragraph" w:customStyle="1" w:styleId="25">
    <w:name w:val="Standard"/>
    <w:qFormat/>
    <w:uiPriority w:val="99"/>
    <w:pPr>
      <w:suppressAutoHyphens/>
      <w:autoSpaceDN w:val="0"/>
      <w:spacing w:after="0" w:line="240" w:lineRule="auto"/>
    </w:pPr>
    <w:rPr>
      <w:rFonts w:ascii="Times New Roman" w:hAnsi="Times New Roman" w:eastAsia="Times New Roman" w:cs="Times New Roman"/>
      <w:kern w:val="3"/>
      <w:sz w:val="20"/>
      <w:szCs w:val="20"/>
      <w:lang w:val="pl-PL" w:eastAsia="zh-CN" w:bidi="ar-SA"/>
    </w:rPr>
  </w:style>
  <w:style w:type="paragraph" w:customStyle="1" w:styleId="26">
    <w:name w:val="Zwykły tekst1"/>
    <w:basedOn w:val="1"/>
    <w:qFormat/>
    <w:uiPriority w:val="0"/>
    <w:pPr>
      <w:widowControl w:val="0"/>
      <w:suppressAutoHyphens/>
      <w:spacing w:after="0" w:line="240" w:lineRule="auto"/>
    </w:pPr>
    <w:rPr>
      <w:rFonts w:ascii="Courier New" w:hAnsi="Courier New" w:eastAsia="Lucida Sans Unicode" w:cs="Courier New"/>
      <w:sz w:val="20"/>
      <w:szCs w:val="20"/>
      <w:lang w:eastAsia="pl-PL"/>
    </w:rPr>
  </w:style>
  <w:style w:type="character" w:customStyle="1" w:styleId="27">
    <w:name w:val="Tekst dymka Znak"/>
    <w:basedOn w:val="2"/>
    <w:link w:val="4"/>
    <w:semiHidden/>
    <w:qFormat/>
    <w:uiPriority w:val="99"/>
    <w:rPr>
      <w:rFonts w:ascii="Segoe UI" w:hAnsi="Segoe UI" w:cs="Segoe UI"/>
      <w:sz w:val="18"/>
      <w:szCs w:val="18"/>
    </w:rPr>
  </w:style>
  <w:style w:type="paragraph" w:customStyle="1" w:styleId="28">
    <w:name w:val="ng-scope"/>
    <w:basedOn w:val="1"/>
    <w:qFormat/>
    <w:uiPriority w:val="0"/>
    <w:pPr>
      <w:spacing w:before="280" w:after="280" w:line="240" w:lineRule="auto"/>
    </w:pPr>
    <w:rPr>
      <w:rFonts w:ascii="Times New Roman" w:hAnsi="Times New Roman" w:eastAsia="Times New Roman" w:cs="Times New Roman"/>
      <w:kern w:val="1"/>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C083-B246-4B27-A472-B68715D06E0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1072</Words>
  <Characters>6437</Characters>
  <Lines>53</Lines>
  <Paragraphs>14</Paragraphs>
  <TotalTime>1</TotalTime>
  <ScaleCrop>false</ScaleCrop>
  <LinksUpToDate>false</LinksUpToDate>
  <CharactersWithSpaces>7495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2021-03-15T10:33:00Z</dcterms:created>
  <dc:creator>Aleksandra Kowolik</dc:creator>
  <cp:lastModifiedBy>WPS_1704352880</cp:lastModifiedBy>
  <cp:lastPrinted>2024-05-13T08:32:00Z</cp:lastPrinted>
  <dcterms:modified xsi:type="dcterms:W3CDTF">2024-06-12T09:20:10Z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0E77D74CC86A4E2491F400ACE01C54BE_13</vt:lpwstr>
  </property>
</Properties>
</file>