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9416" w14:textId="73289142" w:rsidR="005D7C31" w:rsidRPr="00D12F4E" w:rsidRDefault="005D7C31" w:rsidP="00E157A8">
      <w:pPr>
        <w:rPr>
          <w:rFonts w:ascii="Verdana" w:hAnsi="Verdana"/>
          <w:color w:val="000000" w:themeColor="text1"/>
          <w:sz w:val="16"/>
          <w:szCs w:val="16"/>
        </w:rPr>
      </w:pPr>
      <w:r w:rsidRPr="00D12F4E">
        <w:rPr>
          <w:rFonts w:ascii="Verdana" w:hAnsi="Verdana"/>
          <w:color w:val="000000" w:themeColor="text1"/>
          <w:sz w:val="16"/>
          <w:szCs w:val="16"/>
        </w:rPr>
        <w:t>Odpowiedzi na pytania:</w:t>
      </w:r>
    </w:p>
    <w:p w14:paraId="76597C6C" w14:textId="2E8B5682" w:rsidR="005D7C31" w:rsidRPr="00D12F4E" w:rsidRDefault="005D7C31" w:rsidP="00E157A8">
      <w:pPr>
        <w:rPr>
          <w:rFonts w:ascii="Verdana" w:hAnsi="Verdana"/>
          <w:color w:val="000000" w:themeColor="text1"/>
          <w:sz w:val="16"/>
          <w:szCs w:val="16"/>
        </w:rPr>
      </w:pPr>
      <w:r w:rsidRPr="00D12F4E">
        <w:rPr>
          <w:rFonts w:ascii="Verdana" w:hAnsi="Verdana"/>
          <w:color w:val="000000" w:themeColor="text1"/>
          <w:sz w:val="16"/>
          <w:szCs w:val="16"/>
        </w:rPr>
        <w:t>(pisownia oryginalna)</w:t>
      </w:r>
    </w:p>
    <w:p w14:paraId="3E950029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37692E60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1.</w:t>
      </w:r>
    </w:p>
    <w:p w14:paraId="5924F290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Jaką kwotę zamierza przeznaczyć na przedmiotowe zadanie?</w:t>
      </w:r>
    </w:p>
    <w:p w14:paraId="797A6868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Informacja ta jest niezbędna dla ograniczenia zaangażowania wykonawcy, którego oferta przekroczy budżet Zamawiającego.</w:t>
      </w:r>
    </w:p>
    <w:p w14:paraId="0DB20F40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43BD7514" w14:textId="77777777" w:rsidR="005D7C31" w:rsidRPr="002A3864" w:rsidRDefault="005D7C31" w:rsidP="005D7C31">
      <w:pPr>
        <w:rPr>
          <w:b/>
          <w:i/>
          <w:color w:val="0070C0"/>
        </w:rPr>
      </w:pPr>
      <w:r w:rsidRPr="002A3864">
        <w:rPr>
          <w:b/>
          <w:i/>
          <w:color w:val="000000"/>
        </w:rPr>
        <w:t xml:space="preserve">Odpowiedź: Kwota zostanie podana w dniu przetargu. </w:t>
      </w:r>
    </w:p>
    <w:p w14:paraId="680465C6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0BC150D9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2.</w:t>
      </w:r>
    </w:p>
    <w:p w14:paraId="1247483C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SIWZ i projekt podaje:</w:t>
      </w:r>
    </w:p>
    <w:p w14:paraId="53AAF080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Łączna powierzchnia poliuretanowa: boiska, bieżni: 1104m2.</w:t>
      </w:r>
    </w:p>
    <w:p w14:paraId="5FD93C02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W części rysunkowej nie wskazano bieżni a jedynie boisko.</w:t>
      </w:r>
    </w:p>
    <w:p w14:paraId="2BE00CF1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Proszę o udostępnienie dokumentacji projektowej uwzględniającej bieżnię.</w:t>
      </w:r>
    </w:p>
    <w:p w14:paraId="56415070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72A5ABF8" w14:textId="77777777" w:rsidR="005D7C31" w:rsidRPr="002A3864" w:rsidRDefault="005D7C31" w:rsidP="005D7C31">
      <w:pPr>
        <w:rPr>
          <w:b/>
          <w:i/>
        </w:rPr>
      </w:pPr>
      <w:r w:rsidRPr="002A3864">
        <w:rPr>
          <w:b/>
          <w:i/>
          <w:color w:val="000000"/>
        </w:rPr>
        <w:t xml:space="preserve">Odpowiedź: </w:t>
      </w:r>
      <w:r w:rsidRPr="002A3864">
        <w:rPr>
          <w:b/>
          <w:i/>
        </w:rPr>
        <w:t>Projekt z 2019 roku (po zmianach dotyczy tylko boiska), powierzchnia poliuretanowa 1104m</w:t>
      </w:r>
      <w:r w:rsidRPr="002A3864">
        <w:rPr>
          <w:b/>
          <w:i/>
          <w:vertAlign w:val="superscript"/>
        </w:rPr>
        <w:t>2</w:t>
      </w:r>
      <w:r w:rsidRPr="002A3864">
        <w:rPr>
          <w:b/>
          <w:i/>
        </w:rPr>
        <w:t>.</w:t>
      </w:r>
    </w:p>
    <w:p w14:paraId="4D5D48D3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0EBFA73D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3.</w:t>
      </w:r>
    </w:p>
    <w:p w14:paraId="697F87CE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Projekt nie zawiera rysunku z wymiarami terenu przedmiotu zamówienia oraz szczegółowego wymiarowania boiska.</w:t>
      </w:r>
    </w:p>
    <w:p w14:paraId="5C89CFF6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W związku z powyższym wnosimy o udostępnienie rysunków zawierających szczegółowe wymiarowanie wszystkich zamawianych elementów przedmiotu zamówienia.</w:t>
      </w:r>
    </w:p>
    <w:p w14:paraId="58C33537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17477DA3" w14:textId="77777777" w:rsidR="005D7C31" w:rsidRPr="002A3864" w:rsidRDefault="005D7C31" w:rsidP="005D7C31">
      <w:pPr>
        <w:rPr>
          <w:b/>
          <w:i/>
          <w:color w:val="000000"/>
        </w:rPr>
      </w:pPr>
      <w:r w:rsidRPr="002A3864">
        <w:rPr>
          <w:b/>
          <w:i/>
          <w:color w:val="000000"/>
        </w:rPr>
        <w:t xml:space="preserve">Odpowiedź: Zamawiający udostępnił załącznik nr 6, w którym znajduje się rysunek „BOISKO 4-3 </w:t>
      </w:r>
      <w:r w:rsidRPr="002A3864">
        <w:rPr>
          <w:i/>
          <w:color w:val="000000"/>
        </w:rPr>
        <w:t xml:space="preserve">tytuł rysunku: </w:t>
      </w:r>
      <w:r w:rsidRPr="002A3864">
        <w:rPr>
          <w:b/>
          <w:i/>
          <w:color w:val="000000"/>
        </w:rPr>
        <w:t xml:space="preserve">szczegółowe rozwiązania boiska …” </w:t>
      </w:r>
    </w:p>
    <w:p w14:paraId="2DFC0050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37A4BEC7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4.</w:t>
      </w:r>
    </w:p>
    <w:p w14:paraId="4637973C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Dokumentacja podaje sprzeczne opisy nawierzchni sportowej.</w:t>
      </w:r>
    </w:p>
    <w:p w14:paraId="5DB1A273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STWIORB podaje:</w:t>
      </w:r>
    </w:p>
    <w:p w14:paraId="02B204D3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Technologia typu EPDM – nawierzchnia gładka, wykonana trójwarstwowo na podbudowie, elastycznej warstwy mineralnej typu ET, średniej grubości 35 mm.</w:t>
      </w:r>
    </w:p>
    <w:p w14:paraId="026FCD7A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Warstwa pośrednia elastyczna z granulatu gumowego spoinowanego lepiszczem poliuretanowym grubości 11 mm.</w:t>
      </w:r>
    </w:p>
    <w:p w14:paraId="162A64FE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Górna warstwa (użytkowa) wykonana natryskowo, metodą ciśnieniową, z kolorowego granulatu EPDM, z lepiszczem PU, grubości min. 2 mm.</w:t>
      </w:r>
    </w:p>
    <w:p w14:paraId="73711A11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Powyższy opis jest sprzeczny ponieważ nawierzchnia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typu EPDM to nie jest nawierzchnia typu NATRYSK a opis podaje, że górna warstwa ma być wykonana natryskowo.</w:t>
      </w:r>
    </w:p>
    <w:p w14:paraId="5501E06D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</w:p>
    <w:p w14:paraId="440B8CBD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PROJEKT WYKONAWCZY podaje:</w:t>
      </w:r>
    </w:p>
    <w:p w14:paraId="0A231205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Technologia typu EPDM – nawierzchnia gładka, wykonana trójwarstwowo na podbudowie, elastycznej warstwy mineralnej typu ET, średniej grubości 35 mm.</w:t>
      </w:r>
    </w:p>
    <w:p w14:paraId="7E76F7BE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Warstwa pośrednia elastyczna z granulatu gumowego spoinowanego lepiszczem poliuretanowym grubości 11 mm.</w:t>
      </w:r>
    </w:p>
    <w:p w14:paraId="350B417D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Górna warstwa (użytkowa) wykonana natryskowo, metodą ciśnieniową, z kolorowego granulatu EPDM, z lepiszczem PU, grubości min. 7 mm.</w:t>
      </w:r>
    </w:p>
    <w:p w14:paraId="0BDC2FDB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I dalej:</w:t>
      </w:r>
    </w:p>
    <w:p w14:paraId="19249710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Technologia typu EPDM – nawierzchnia gładka, wykonana trójwarstwowo na podbudowie, elastycznej warstwy mineralnej typu ET, średniej grubości 35 mm.</w:t>
      </w:r>
    </w:p>
    <w:p w14:paraId="2BC404A0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Warstwa pośrednia elastyczna z granulatu gumowego spoinowanego lepiszczem poliuretanowym grubości 8 mm.</w:t>
      </w:r>
    </w:p>
    <w:p w14:paraId="19F2305D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Górna warstwa (użytkowa) wykonana natryskowo, metodą ciśnieniową, z kolorowego granulatu EPDM, z lepiszczem PU, grubości min. 7 mm.</w:t>
      </w:r>
    </w:p>
    <w:p w14:paraId="7B362923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Oba ww. opisy z jednej i tej samej części projektu wykonawczego zawierają błędny i sprzeczny opis nawierzchni.</w:t>
      </w:r>
    </w:p>
    <w:p w14:paraId="67D51D3F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Informujemy, że na boiska wielofunkcyjne stosowane są 2 typu przepuszczalnej dla wody nawierzchni sportowej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>, które są instalowane na podłożu z warstwy stabilizacyjnej typu ET:</w:t>
      </w:r>
    </w:p>
    <w:p w14:paraId="75CFEBB3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- typu EPDM 2S – dwuwarstwowa (dolna warstwa z mieszaniny granulatu SBR i lepiszcza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o gr. ok 7-8 mm/górna warstwa z mieszaniny granulatu EPDM i lepiszcza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o gr. ok. 7-8 mm) – obie warstwy układane są przy użyciu specjalistycznej układarki do mas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. </w:t>
      </w:r>
    </w:p>
    <w:p w14:paraId="44922EDC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- typu NATRYSK – dwuwarstwowa (dolna warstwa z mieszaniny granulatu SBR i lepiszcza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o gr. ok 11 mm układana  przy specjalistycznej układarki do mas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/górna warstwa z mieszaniny granulatu EPDM i systemu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o gr. ok. 2 mm układana przy użyciu specjalistycznej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natryskarki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). </w:t>
      </w:r>
    </w:p>
    <w:p w14:paraId="371C7913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Zalecamy wybór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typu EPDM 2S ponieważ jest bardziej trwała oraz ma zdecydowanie gładszą powierzchnię niż typu NATRYSK.</w:t>
      </w:r>
    </w:p>
    <w:p w14:paraId="5A5DAEDC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W związku z powyższym wnosimy o jednoznaczne określenie typu zamawianej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>.</w:t>
      </w:r>
    </w:p>
    <w:p w14:paraId="16B7343D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162B4C02" w14:textId="77777777" w:rsidR="005D7C31" w:rsidRPr="002A3864" w:rsidRDefault="005D7C31" w:rsidP="005D7C31">
      <w:pPr>
        <w:rPr>
          <w:rFonts w:eastAsia="Times New Roman"/>
          <w:b/>
          <w:i/>
          <w:color w:val="000000"/>
          <w:lang w:eastAsia="pl-PL"/>
        </w:rPr>
      </w:pPr>
      <w:r w:rsidRPr="002A3864">
        <w:rPr>
          <w:b/>
          <w:i/>
          <w:color w:val="000000"/>
        </w:rPr>
        <w:t xml:space="preserve">Odpowiedź: </w:t>
      </w:r>
      <w:r w:rsidRPr="002A3864">
        <w:rPr>
          <w:rFonts w:eastAsia="Times New Roman"/>
          <w:b/>
          <w:i/>
          <w:color w:val="000000"/>
          <w:lang w:eastAsia="pl-PL"/>
        </w:rPr>
        <w:t>Konstrukcja nawierzchni boiska wg rysunku bud.3:</w:t>
      </w:r>
    </w:p>
    <w:p w14:paraId="160F9636" w14:textId="77777777" w:rsidR="005D7C31" w:rsidRPr="002A3864" w:rsidRDefault="005D7C31" w:rsidP="005D7C31">
      <w:pPr>
        <w:ind w:left="720"/>
        <w:rPr>
          <w:rFonts w:eastAsia="Times New Roman"/>
          <w:b/>
          <w:i/>
          <w:color w:val="000000"/>
          <w:lang w:eastAsia="pl-PL"/>
        </w:rPr>
      </w:pPr>
      <w:r w:rsidRPr="002A3864">
        <w:rPr>
          <w:rFonts w:eastAsia="Times New Roman"/>
          <w:b/>
          <w:i/>
          <w:color w:val="000000"/>
          <w:lang w:eastAsia="pl-PL"/>
        </w:rPr>
        <w:t xml:space="preserve">-granulat </w:t>
      </w:r>
      <w:proofErr w:type="spellStart"/>
      <w:r w:rsidRPr="002A3864">
        <w:rPr>
          <w:rFonts w:eastAsia="Times New Roman"/>
          <w:b/>
          <w:i/>
          <w:color w:val="000000"/>
          <w:lang w:eastAsia="pl-PL"/>
        </w:rPr>
        <w:t>EPDM+lepiszcze</w:t>
      </w:r>
      <w:proofErr w:type="spellEnd"/>
      <w:r w:rsidRPr="002A3864">
        <w:rPr>
          <w:rFonts w:eastAsia="Times New Roman"/>
          <w:b/>
          <w:i/>
          <w:color w:val="000000"/>
          <w:lang w:eastAsia="pl-PL"/>
        </w:rPr>
        <w:t xml:space="preserve"> PU -  0,7cm</w:t>
      </w:r>
    </w:p>
    <w:p w14:paraId="6F0252E8" w14:textId="77777777" w:rsidR="005D7C31" w:rsidRPr="002A3864" w:rsidRDefault="005D7C31" w:rsidP="005D7C31">
      <w:pPr>
        <w:ind w:left="720"/>
        <w:rPr>
          <w:rFonts w:eastAsia="Times New Roman"/>
          <w:b/>
          <w:i/>
          <w:color w:val="000000"/>
          <w:lang w:eastAsia="pl-PL"/>
        </w:rPr>
      </w:pPr>
      <w:r w:rsidRPr="002A3864">
        <w:rPr>
          <w:rFonts w:eastAsia="Times New Roman"/>
          <w:b/>
          <w:i/>
          <w:color w:val="000000"/>
          <w:lang w:eastAsia="pl-PL"/>
        </w:rPr>
        <w:t xml:space="preserve">-granulat </w:t>
      </w:r>
      <w:proofErr w:type="spellStart"/>
      <w:r w:rsidRPr="002A3864">
        <w:rPr>
          <w:rFonts w:eastAsia="Times New Roman"/>
          <w:b/>
          <w:i/>
          <w:color w:val="000000"/>
          <w:lang w:eastAsia="pl-PL"/>
        </w:rPr>
        <w:t>SBR+lepiszcze</w:t>
      </w:r>
      <w:proofErr w:type="spellEnd"/>
      <w:r w:rsidRPr="002A3864">
        <w:rPr>
          <w:rFonts w:eastAsia="Times New Roman"/>
          <w:b/>
          <w:i/>
          <w:color w:val="000000"/>
          <w:lang w:eastAsia="pl-PL"/>
        </w:rPr>
        <w:t xml:space="preserve"> PU -  0,8cm</w:t>
      </w:r>
    </w:p>
    <w:p w14:paraId="47337E73" w14:textId="77777777" w:rsidR="005D7C31" w:rsidRPr="002A3864" w:rsidRDefault="005D7C31" w:rsidP="005D7C31">
      <w:pPr>
        <w:ind w:left="720"/>
        <w:rPr>
          <w:rFonts w:eastAsia="Times New Roman"/>
          <w:b/>
          <w:i/>
          <w:color w:val="000000"/>
          <w:lang w:eastAsia="pl-PL"/>
        </w:rPr>
      </w:pPr>
      <w:r w:rsidRPr="002A3864">
        <w:rPr>
          <w:rFonts w:eastAsia="Times New Roman"/>
          <w:b/>
          <w:i/>
          <w:color w:val="000000"/>
          <w:lang w:eastAsia="pl-PL"/>
        </w:rPr>
        <w:lastRenderedPageBreak/>
        <w:t>-elastyczna podbudowa typu ET - 3,5cm</w:t>
      </w:r>
    </w:p>
    <w:p w14:paraId="1D86D879" w14:textId="77777777" w:rsidR="005D7C31" w:rsidRPr="002A3864" w:rsidRDefault="005D7C31" w:rsidP="005D7C31">
      <w:pPr>
        <w:ind w:left="720"/>
        <w:rPr>
          <w:rFonts w:eastAsia="Times New Roman"/>
          <w:b/>
          <w:i/>
          <w:color w:val="000000"/>
          <w:lang w:eastAsia="pl-PL"/>
        </w:rPr>
      </w:pPr>
      <w:r w:rsidRPr="002A3864">
        <w:rPr>
          <w:rFonts w:eastAsia="Times New Roman"/>
          <w:b/>
          <w:i/>
          <w:color w:val="000000"/>
          <w:lang w:eastAsia="pl-PL"/>
        </w:rPr>
        <w:t>-warstwa klinująca z naturalnego kruszywa kamiennego fr.0-31,5mm - 5cm</w:t>
      </w:r>
    </w:p>
    <w:p w14:paraId="592B5380" w14:textId="77777777" w:rsidR="005D7C31" w:rsidRPr="002A3864" w:rsidRDefault="005D7C31" w:rsidP="005D7C31">
      <w:pPr>
        <w:ind w:left="720"/>
        <w:rPr>
          <w:rFonts w:eastAsia="Times New Roman"/>
          <w:b/>
          <w:i/>
          <w:color w:val="000000"/>
          <w:lang w:eastAsia="pl-PL"/>
        </w:rPr>
      </w:pPr>
      <w:r w:rsidRPr="002A3864">
        <w:rPr>
          <w:rFonts w:eastAsia="Times New Roman"/>
          <w:b/>
          <w:i/>
          <w:color w:val="000000"/>
          <w:lang w:eastAsia="pl-PL"/>
        </w:rPr>
        <w:t>-warstwa konstrukcyjna z naturalnego kruszywa kamiennego fr.31,5-63mm - 10cm</w:t>
      </w:r>
    </w:p>
    <w:p w14:paraId="6E2F4285" w14:textId="77777777" w:rsidR="005D7C31" w:rsidRPr="002A3864" w:rsidRDefault="005D7C31" w:rsidP="005D7C31">
      <w:pPr>
        <w:ind w:left="720"/>
        <w:rPr>
          <w:rFonts w:eastAsia="Times New Roman"/>
          <w:b/>
          <w:i/>
          <w:color w:val="000000"/>
          <w:lang w:eastAsia="pl-PL"/>
        </w:rPr>
      </w:pPr>
      <w:r w:rsidRPr="002A3864">
        <w:rPr>
          <w:rFonts w:eastAsia="Times New Roman"/>
          <w:b/>
          <w:i/>
          <w:color w:val="000000"/>
          <w:lang w:eastAsia="pl-PL"/>
        </w:rPr>
        <w:t>-warstwa odcinająca z piasku lub pospółki - min.10cm</w:t>
      </w:r>
    </w:p>
    <w:p w14:paraId="0D5BCF45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570A0969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3717D2AB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5.</w:t>
      </w:r>
    </w:p>
    <w:p w14:paraId="27F9B593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Projekt podaje wymagania dotyczące nawierzchni sportowej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w sposób niezgodny ze standardami w branży i aktualną normą - projekt podaje wymagania dotyczące parametrów technicznych niezgodnie z obowiązującą normą PN-EN 14877:2014-02 (obowiązująca w Unii Europejskiej norma określająca wymagania dotyczące sportowych wszystkich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otwartych obiektów sportowych).</w:t>
      </w:r>
    </w:p>
    <w:p w14:paraId="31B79EDF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Projekt podaje:</w:t>
      </w:r>
    </w:p>
    <w:p w14:paraId="6C569C03" w14:textId="1E7E29EF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noProof/>
          <w:color w:val="4472C4" w:themeColor="accent1"/>
          <w:sz w:val="16"/>
          <w:szCs w:val="16"/>
          <w:lang w:eastAsia="pl-PL"/>
        </w:rPr>
        <w:drawing>
          <wp:inline distT="0" distB="0" distL="0" distR="0" wp14:anchorId="1EA1E12B" wp14:editId="2AC68F8F">
            <wp:extent cx="4183380" cy="1292225"/>
            <wp:effectExtent l="0" t="0" r="762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AC1879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Poniżej przedstawiamy wymagania wg aktualnej normy PN-EN 14877:2014-02 dla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>.</w:t>
      </w:r>
    </w:p>
    <w:p w14:paraId="5233BDB0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2625"/>
      </w:tblGrid>
      <w:tr w:rsidR="00D12F4E" w:rsidRPr="00D12F4E" w14:paraId="745038F3" w14:textId="77777777" w:rsidTr="00E157A8"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D9B6" w14:textId="77777777" w:rsidR="00E157A8" w:rsidRPr="00D12F4E" w:rsidRDefault="00E157A8">
            <w:pPr>
              <w:rPr>
                <w:rFonts w:ascii="Verdana" w:hAnsi="Verdana"/>
                <w:i/>
                <w:iCs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i/>
                <w:iCs/>
                <w:color w:val="4472C4" w:themeColor="accent1"/>
                <w:sz w:val="16"/>
                <w:szCs w:val="16"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ED9E" w14:textId="77777777" w:rsidR="00E157A8" w:rsidRPr="00D12F4E" w:rsidRDefault="00E157A8">
            <w:pPr>
              <w:rPr>
                <w:rFonts w:ascii="Verdana" w:hAnsi="Verdana"/>
                <w:i/>
                <w:iCs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i/>
                <w:iCs/>
                <w:color w:val="4472C4" w:themeColor="accent1"/>
                <w:sz w:val="16"/>
                <w:szCs w:val="16"/>
              </w:rPr>
              <w:t xml:space="preserve">wartość wymagana wg normy </w:t>
            </w:r>
          </w:p>
          <w:p w14:paraId="4A247959" w14:textId="77777777" w:rsidR="00E157A8" w:rsidRPr="00D12F4E" w:rsidRDefault="00E157A8">
            <w:pPr>
              <w:rPr>
                <w:rFonts w:ascii="Verdana" w:hAnsi="Verdana"/>
                <w:i/>
                <w:iCs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i/>
                <w:iCs/>
                <w:color w:val="4472C4" w:themeColor="accent1"/>
                <w:sz w:val="16"/>
                <w:szCs w:val="16"/>
              </w:rPr>
              <w:t>PN-EN 14877:2014-02</w:t>
            </w:r>
          </w:p>
        </w:tc>
      </w:tr>
      <w:tr w:rsidR="00D12F4E" w:rsidRPr="00D12F4E" w14:paraId="52C4CABB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B884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Wytrzymałość na rozciąganie,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6BB5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0,4</w:t>
            </w:r>
          </w:p>
        </w:tc>
      </w:tr>
      <w:tr w:rsidR="00D12F4E" w:rsidRPr="00D12F4E" w14:paraId="005E4110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48D0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4E73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40</w:t>
            </w:r>
          </w:p>
        </w:tc>
      </w:tr>
      <w:tr w:rsidR="00D12F4E" w:rsidRPr="00D12F4E" w14:paraId="0FBE9DE5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A787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Opór poślizgu, PTV:</w:t>
            </w:r>
          </w:p>
          <w:p w14:paraId="0A11C009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na sucho</w:t>
            </w:r>
          </w:p>
          <w:p w14:paraId="6600E0E6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na mokro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CA45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 </w:t>
            </w:r>
          </w:p>
          <w:p w14:paraId="611C966D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80÷110</w:t>
            </w:r>
          </w:p>
          <w:p w14:paraId="20C3B9E1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55÷110</w:t>
            </w:r>
          </w:p>
        </w:tc>
      </w:tr>
      <w:tr w:rsidR="00D12F4E" w:rsidRPr="00D12F4E" w14:paraId="067E91D4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13AA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(dotyczy tylko nawierzchni przepuszczalnej dla wody)</w:t>
            </w:r>
          </w:p>
          <w:p w14:paraId="304B2073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Przepuszczalność wody, mm/h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9E63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</w:p>
          <w:p w14:paraId="2A51282A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150</w:t>
            </w:r>
          </w:p>
        </w:tc>
      </w:tr>
      <w:tr w:rsidR="00D12F4E" w:rsidRPr="00D12F4E" w14:paraId="14FB1B49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18D4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Odporność na zużycie (ścieranie aparatem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Tabera</w:t>
            </w:r>
            <w:proofErr w:type="spellEnd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),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5A4D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≤ 4</w:t>
            </w:r>
          </w:p>
        </w:tc>
      </w:tr>
      <w:tr w:rsidR="00D12F4E" w:rsidRPr="00D12F4E" w14:paraId="5AA7A4C7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74CC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(dotyczy tylko nawierzchni lekkoatletycznej)</w:t>
            </w:r>
          </w:p>
          <w:p w14:paraId="76576F34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Odporność na kolce:</w:t>
            </w:r>
          </w:p>
          <w:p w14:paraId="13520778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spadek wytrzymałości na rozciąganie, %</w:t>
            </w:r>
          </w:p>
          <w:p w14:paraId="4CF545E8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spadek wydłużenia względnego przy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F</w:t>
            </w:r>
            <w:r w:rsidRPr="00D12F4E">
              <w:rPr>
                <w:rFonts w:ascii="Verdana" w:hAnsi="Verdana"/>
                <w:color w:val="4472C4" w:themeColor="accent1"/>
                <w:sz w:val="16"/>
                <w:szCs w:val="16"/>
                <w:vertAlign w:val="subscript"/>
              </w:rPr>
              <w:t>max</w:t>
            </w:r>
            <w:proofErr w:type="spellEnd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C1C6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</w:p>
          <w:p w14:paraId="0B21C9BC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</w:p>
          <w:p w14:paraId="2A44EE11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≤ 20</w:t>
            </w:r>
          </w:p>
          <w:p w14:paraId="316DC191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≤ 20</w:t>
            </w:r>
          </w:p>
        </w:tc>
      </w:tr>
      <w:tr w:rsidR="00D12F4E" w:rsidRPr="00D12F4E" w14:paraId="7EBF371F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3C9C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Odporność po przyśpieszonym starzeniu:</w:t>
            </w:r>
          </w:p>
          <w:p w14:paraId="1C47101B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wytrzymałość na rozciąganie, N/mm²</w:t>
            </w:r>
          </w:p>
          <w:p w14:paraId="6D4190C8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wydłużenie względne przy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F</w:t>
            </w:r>
            <w:r w:rsidRPr="00D12F4E">
              <w:rPr>
                <w:rFonts w:ascii="Verdana" w:hAnsi="Verdana"/>
                <w:color w:val="4472C4" w:themeColor="accent1"/>
                <w:sz w:val="16"/>
                <w:szCs w:val="16"/>
                <w:vertAlign w:val="subscript"/>
              </w:rPr>
              <w:t>max</w:t>
            </w:r>
            <w:proofErr w:type="spellEnd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, %</w:t>
            </w:r>
          </w:p>
          <w:p w14:paraId="075C329C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amortyzacja, %</w:t>
            </w:r>
          </w:p>
          <w:p w14:paraId="770E3826" w14:textId="77777777" w:rsidR="00E157A8" w:rsidRPr="00D12F4E" w:rsidRDefault="00E157A8">
            <w:pPr>
              <w:ind w:firstLine="203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nawierzchnia na obiekty lekkoatletyczne</w:t>
            </w:r>
          </w:p>
          <w:p w14:paraId="778D13D2" w14:textId="77777777" w:rsidR="00E157A8" w:rsidRPr="00D12F4E" w:rsidRDefault="00E157A8">
            <w:pPr>
              <w:ind w:firstLine="203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nawierzchnia na obiekty tenisowe</w:t>
            </w:r>
          </w:p>
          <w:p w14:paraId="7A3E4F9A" w14:textId="77777777" w:rsidR="00E157A8" w:rsidRPr="00D12F4E" w:rsidRDefault="00E157A8">
            <w:pPr>
              <w:ind w:firstLine="203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nawierzchnia na obiekty typu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multisport</w:t>
            </w:r>
            <w:proofErr w:type="spellEnd"/>
          </w:p>
          <w:p w14:paraId="4380D1F0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odporność na kolce:</w:t>
            </w:r>
          </w:p>
          <w:p w14:paraId="4002BBEE" w14:textId="77777777" w:rsidR="00E157A8" w:rsidRPr="00D12F4E" w:rsidRDefault="00E157A8">
            <w:pPr>
              <w:ind w:firstLine="203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wytrzymałość na rozciąganie po użyciu kolców,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MPa</w:t>
            </w:r>
            <w:proofErr w:type="spellEnd"/>
          </w:p>
          <w:p w14:paraId="43F067D6" w14:textId="77777777" w:rsidR="00E157A8" w:rsidRPr="00D12F4E" w:rsidRDefault="00E157A8">
            <w:pPr>
              <w:ind w:firstLine="203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spadek wytrzymałości po działaniu kolców, %</w:t>
            </w:r>
          </w:p>
          <w:p w14:paraId="78CC566E" w14:textId="77777777" w:rsidR="00E157A8" w:rsidRPr="00D12F4E" w:rsidRDefault="00E157A8">
            <w:pPr>
              <w:ind w:firstLine="203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wydłużenie względne przy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F</w:t>
            </w:r>
            <w:r w:rsidRPr="00D12F4E">
              <w:rPr>
                <w:rFonts w:ascii="Verdana" w:hAnsi="Verdana"/>
                <w:color w:val="4472C4" w:themeColor="accent1"/>
                <w:sz w:val="16"/>
                <w:szCs w:val="16"/>
                <w:vertAlign w:val="subscript"/>
              </w:rPr>
              <w:t>max</w:t>
            </w:r>
            <w:proofErr w:type="spellEnd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  <w:vertAlign w:val="subscript"/>
              </w:rPr>
              <w:t xml:space="preserve"> </w:t>
            </w: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po działaniu kolców, %</w:t>
            </w:r>
          </w:p>
          <w:p w14:paraId="521CA40F" w14:textId="77777777" w:rsidR="00E157A8" w:rsidRPr="00D12F4E" w:rsidRDefault="00E157A8">
            <w:pPr>
              <w:ind w:left="344" w:hanging="141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spadek wydłużenia względnego przy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F</w:t>
            </w:r>
            <w:r w:rsidRPr="00D12F4E">
              <w:rPr>
                <w:rFonts w:ascii="Verdana" w:hAnsi="Verdana"/>
                <w:color w:val="4472C4" w:themeColor="accent1"/>
                <w:sz w:val="16"/>
                <w:szCs w:val="16"/>
                <w:vertAlign w:val="subscript"/>
              </w:rPr>
              <w:t>max</w:t>
            </w:r>
            <w:proofErr w:type="spellEnd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  <w:vertAlign w:val="subscript"/>
              </w:rPr>
              <w:t xml:space="preserve"> </w:t>
            </w: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po działaniu kolców,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B515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 </w:t>
            </w:r>
          </w:p>
          <w:p w14:paraId="2805B41B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0,4</w:t>
            </w:r>
          </w:p>
          <w:p w14:paraId="7DDB429A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40</w:t>
            </w:r>
          </w:p>
          <w:p w14:paraId="5F970322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 </w:t>
            </w:r>
          </w:p>
          <w:p w14:paraId="3F600C7D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35÷50 typ SA35÷50</w:t>
            </w:r>
          </w:p>
          <w:p w14:paraId="62CBE8C8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&gt;31 typ SA 31+</w:t>
            </w:r>
          </w:p>
          <w:p w14:paraId="43AE2489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35÷44 typ SA35÷44</w:t>
            </w:r>
          </w:p>
          <w:p w14:paraId="0ABC7A7C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 </w:t>
            </w:r>
          </w:p>
          <w:p w14:paraId="7BB38AEF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0,4</w:t>
            </w:r>
          </w:p>
          <w:p w14:paraId="31E5F341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≤ 20</w:t>
            </w:r>
          </w:p>
          <w:p w14:paraId="5DB1C4FA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40</w:t>
            </w:r>
          </w:p>
          <w:p w14:paraId="07DE85C9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≤ 20</w:t>
            </w:r>
          </w:p>
        </w:tc>
      </w:tr>
      <w:tr w:rsidR="00D12F4E" w:rsidRPr="00D12F4E" w14:paraId="241D41AE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AEEE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Odporność po sztucznym starzeniu:</w:t>
            </w:r>
          </w:p>
          <w:p w14:paraId="49ED8DF1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odporność na zużycie (ścieranie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Tabera</w:t>
            </w:r>
            <w:proofErr w:type="spellEnd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), g</w:t>
            </w:r>
          </w:p>
          <w:p w14:paraId="396B3A35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zmiana barwy, stopień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CD0E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 </w:t>
            </w:r>
          </w:p>
          <w:p w14:paraId="0A5B8F12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≤ 4</w:t>
            </w:r>
          </w:p>
          <w:p w14:paraId="758C581D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3</w:t>
            </w:r>
          </w:p>
        </w:tc>
      </w:tr>
      <w:tr w:rsidR="00D12F4E" w:rsidRPr="00D12F4E" w14:paraId="5C6718DE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6E7B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Amortyzacja, %:</w:t>
            </w:r>
          </w:p>
          <w:p w14:paraId="2E3415FD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nawierzchnia na obiekty lekkoatletyczne</w:t>
            </w:r>
          </w:p>
          <w:p w14:paraId="1F3C5252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nawierzchnia na obiekty tenisowe</w:t>
            </w:r>
          </w:p>
          <w:p w14:paraId="682ECB3C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nawierzchnia na obiekty typu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7A685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 </w:t>
            </w:r>
          </w:p>
          <w:p w14:paraId="7FFC2177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35÷50 typ SA35÷50</w:t>
            </w:r>
          </w:p>
          <w:p w14:paraId="069CDAAE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&gt;31 typ SA 31+</w:t>
            </w:r>
          </w:p>
          <w:p w14:paraId="4A7DEFD8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35÷44 typ SA35÷44</w:t>
            </w:r>
          </w:p>
        </w:tc>
      </w:tr>
      <w:tr w:rsidR="00D12F4E" w:rsidRPr="00D12F4E" w14:paraId="329CD983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EFF6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Odkształcenie pionowe, mm:</w:t>
            </w:r>
          </w:p>
          <w:p w14:paraId="68CF9F1C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nawierzchnia na obiekty lekkoatletyczne</w:t>
            </w:r>
          </w:p>
          <w:p w14:paraId="0017E0FF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nawierzchnia na obiekty tenisowe</w:t>
            </w:r>
          </w:p>
          <w:p w14:paraId="2F1F58BA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nawierzchnia na obiekty typu </w:t>
            </w:r>
            <w:proofErr w:type="spellStart"/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92FD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 </w:t>
            </w:r>
          </w:p>
          <w:p w14:paraId="4B62DCF6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≤ 6</w:t>
            </w:r>
          </w:p>
          <w:p w14:paraId="2AC3962C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≤ 6</w:t>
            </w:r>
          </w:p>
          <w:p w14:paraId="2C64D06E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≤ 3</w:t>
            </w:r>
          </w:p>
        </w:tc>
      </w:tr>
      <w:tr w:rsidR="00E157A8" w:rsidRPr="00D12F4E" w14:paraId="112E82D6" w14:textId="77777777" w:rsidTr="00E157A8">
        <w:tc>
          <w:tcPr>
            <w:tcW w:w="5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505B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Zachowanie się piłki odbitej pionowo:</w:t>
            </w:r>
          </w:p>
          <w:p w14:paraId="38847DC3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 xml:space="preserve">- piłka koszykowa, % </w:t>
            </w:r>
          </w:p>
          <w:p w14:paraId="4DD97F5A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- piłka tenisowa,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6D8C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 </w:t>
            </w:r>
          </w:p>
          <w:p w14:paraId="4E326322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85</w:t>
            </w:r>
          </w:p>
          <w:p w14:paraId="7E11EFEE" w14:textId="77777777" w:rsidR="00E157A8" w:rsidRPr="00D12F4E" w:rsidRDefault="00E157A8">
            <w:pPr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D12F4E">
              <w:rPr>
                <w:rFonts w:ascii="Verdana" w:hAnsi="Verdana"/>
                <w:color w:val="4472C4" w:themeColor="accent1"/>
                <w:sz w:val="16"/>
                <w:szCs w:val="16"/>
              </w:rPr>
              <w:t>≥ 85</w:t>
            </w:r>
          </w:p>
        </w:tc>
      </w:tr>
    </w:tbl>
    <w:p w14:paraId="405E0B82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</w:p>
    <w:p w14:paraId="72EC43CE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Powyższe dowodzi, że wymagane przez projekt parametry są niezgodne z aktualną normą PN-EN 14877:2014-02 mimo, że zapis projektu pod tabelą podaje, że nawierzchnia musi spełniać wymogi tej normy.</w:t>
      </w:r>
    </w:p>
    <w:p w14:paraId="6CF21DE9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Projekt stosuje przy określeniu parametrów standardy nieaktualnej nomenklatury ITB czyli parametry nie występujące w aktualnej normie oraz wartości wymaganych parametrów, które występują w normie ale wartości niezgodnie z założeniami tej normy. </w:t>
      </w:r>
    </w:p>
    <w:p w14:paraId="1F725906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Parametry wg starej nomenklatury ITB nie są kompatybilne z aktualną normą dla tego typu nawierzchni.</w:t>
      </w:r>
    </w:p>
    <w:p w14:paraId="00CE0BE2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Informujemy, że nie wykonuje się na nawierzchnie sportowe (w tym nawierzchnie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) aprobat i rekomendacji technicznych ITB tylko badania na zgodność z norma PN-EN 14877:2014-02, dlatego wymaganie aprobaty lub rekomendacji technicznej ITB jest bezpodstawne. </w:t>
      </w:r>
    </w:p>
    <w:p w14:paraId="7BAA8243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lastRenderedPageBreak/>
        <w:t xml:space="preserve">Wynika to z tego, że nawierzchnie sportowe (w tym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>) nie były sklasyfikowane jako wyroby budowlane, na które jedynie były wydawane aprobaty lub rekomendacje techniczne ITB. Jakiś czas temu można było wykonywać rekomendacje techniczne ITB dobrowolnie.</w:t>
      </w:r>
    </w:p>
    <w:p w14:paraId="57544824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Jeśli nawet kiedyś jakaś nawierzchnia miała wykonaną aprobatę lub rekomendację techniczną ITB to nie może to być podstawą o określania wymagań. Informujemy, że aktualnie jedynym dokumentem dopuszczającym do stosowania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na terenie UE jest potwierdzenie zgodności z normą PN-EN 14877:2014-02, wydane przez niezależną instytucję do tego upoważnioną.</w:t>
      </w:r>
    </w:p>
    <w:p w14:paraId="57605F93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Dla parametrów występujących w aktualnej normie projekt wymaga wartości niezgodnie z tą normą, co dowodzi jedynie manipulacji.</w:t>
      </w:r>
    </w:p>
    <w:p w14:paraId="273F63B8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Projekt wprowadza własne niezrozumiałe wytyczne dla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w sposób niezgodny ze standardami aktualnej normy nie mając do tego żadnych umocowań. Norma nie może podlegać wybiórczej manipulacji w celu określenia własnych wytycznych.</w:t>
      </w:r>
    </w:p>
    <w:p w14:paraId="45E1511A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</w:p>
    <w:p w14:paraId="6FF12251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Jeśli Zamawiający ma wątpliwości do przedstawianych przez nas obiektywnych argumentów to proponujemy zapoznanie się z aktualnymi wytycznymi dla nawierzchni sportowych poprzez kontakt z niezależną instytucją zajmującą się nawierzchniami sportowymi tj. Instytutem Sportu </w:t>
      </w:r>
    </w:p>
    <w:p w14:paraId="10BE6F65" w14:textId="77777777" w:rsidR="00E157A8" w:rsidRPr="00D12F4E" w:rsidRDefault="00D12F4E" w:rsidP="00E157A8">
      <w:pPr>
        <w:rPr>
          <w:rFonts w:ascii="Verdana" w:hAnsi="Verdana"/>
          <w:color w:val="4472C4" w:themeColor="accent1"/>
          <w:sz w:val="16"/>
          <w:szCs w:val="16"/>
        </w:rPr>
      </w:pPr>
      <w:hyperlink r:id="rId6" w:history="1">
        <w:r w:rsidR="00E157A8" w:rsidRPr="00D12F4E">
          <w:rPr>
            <w:rStyle w:val="Hipercze"/>
            <w:rFonts w:ascii="Verdana" w:hAnsi="Verdana"/>
            <w:color w:val="4472C4" w:themeColor="accent1"/>
            <w:sz w:val="16"/>
            <w:szCs w:val="16"/>
          </w:rPr>
          <w:t>https://insp.waw.pl/is-pib/laboratorium-nawierzchni-sportowych</w:t>
        </w:r>
      </w:hyperlink>
    </w:p>
    <w:p w14:paraId="74C433CE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Powyższe potwierdzi, że nasze argumenty są obiektywne i właściwe.</w:t>
      </w:r>
    </w:p>
    <w:p w14:paraId="260455EE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</w:p>
    <w:p w14:paraId="0F615B1D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Należy obiektywnie stwierdzić, że określenie wymagań dotyczących zamawianych produktów musi odnosić się do obiektywnie istniejących norm, do których mogą się stosować wszyscy producenci systemów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>. </w:t>
      </w:r>
    </w:p>
    <w:p w14:paraId="24F11E3C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Kuriozalnym jest stan rzeczy kiedy nawierzchnia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typu zamawianego spełniająca wymagania normy PN-EN 14877:2014-02, akceptowana we wszystkich krajach Unii Europejskiej, nie mogłaby być zastosowana na przedmiotowym zadaniu tylko z powodu określenia wymagań przez Zamawiającego niezgodnie z obowiązującą w Unii Europejskiej normą.</w:t>
      </w:r>
    </w:p>
    <w:p w14:paraId="5121AE33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W związku z powyższym wnosimy o dopuszczenie nawierzchni poliuretanowych zamawianego typu zamawianego posiadających:</w:t>
      </w:r>
    </w:p>
    <w:p w14:paraId="1424C288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- Wyniki badań na zgodność z normą PN-EN 14877:2014-02 (obowiązujące w UE parametry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>)</w:t>
      </w:r>
    </w:p>
    <w:p w14:paraId="61479360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- Wyniki badań na zgodność z normą DIN 18035-6:2014 (bezpieczeństwo ekologiczne – zawartość związków chemicznych)</w:t>
      </w:r>
    </w:p>
    <w:p w14:paraId="11EDBE04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- Wyniki badań WWA z określeniem kl. 1</w:t>
      </w:r>
    </w:p>
    <w:p w14:paraId="689F67C2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- Atest higieniczny PZH</w:t>
      </w:r>
    </w:p>
    <w:p w14:paraId="465C622E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- Karta techniczna potwierdzona przez producenta</w:t>
      </w:r>
    </w:p>
    <w:p w14:paraId="612F5D58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pod warunkiem posiadania przez wykonawcę autoryzacji producenta nawierzchni poliuretanowej, wystawionej dla wykonawcy na realizowaną inwestycję wraz z potwierdzeniem gwarancji udzielonej przez producenta na tą nawierzchnię.</w:t>
      </w:r>
    </w:p>
    <w:p w14:paraId="711CE29D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Zaznaczamy, że nie chodzi o to aby Zamawiający obniżył jakość zamawianej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tylko o to aby opisał wymagania dotyczące nawierzchni w sposób zgodny z technologią, standardami w branży, obowiązującą w Unii Europejskiej normą PN-EN 14877:2014-02.</w:t>
      </w:r>
    </w:p>
    <w:p w14:paraId="7C2EA594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</w:p>
    <w:p w14:paraId="24932B68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Wyprzedzając ewentualne stanowisko Zamawiającego, że podane wymagania są minimalne informujemy, że takie założenie jest błędne ponieważ wymagania muszą się odnosić do aktualnej normy dla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a Zamawiający nie może stawiać się w roli decydenta ponad normą i wprowadzać innych niezgodną z nią wymagań. Zamawiający jak i każdy inny musi stosować się to parametrów określonych przez aktualną normę i nie może nią manipulować i ustalać własnych wymagań w standardzie nie zgodnym z obowiązującą normą. </w:t>
      </w:r>
    </w:p>
    <w:p w14:paraId="3CF50C5F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Informujemy, że Krajowa Izba Odwoławcza, wyrokiem z 30.01.2017 r., KIO 68/17 uwzględniła zarzuty odwołującego w analogicznej sprawie określenia nieuzasadnionych parametrów nawierzchni w sposób ograniczający konkurencję. </w:t>
      </w:r>
    </w:p>
    <w:p w14:paraId="1FE87F51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Skład orzekający wskazał, że uprawnieniem zamawiającego jest ukształtowanie przedmiotu zamówienia w sposób dowolny. Obowiązkiem, który na nim spoczywa jest jednak sformułowanie tego opisu w oparciu o uzasadnione potrzeby. </w:t>
      </w:r>
    </w:p>
    <w:p w14:paraId="356901FF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Zasadą jest zaś nieograniczony dostęp wykonawców do zamówienia. Decydując się na konkretne rozwiązania, zamawiający musi wykazać, że wymagane przez niego parametry wynikają bezpośrednio z obiektywnie uzasadnionych potrzeb. </w:t>
      </w:r>
    </w:p>
    <w:p w14:paraId="187E56A0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Izba wskazała, że to na zamawiającym spoczywa ciężar dowodowy wykazania, że postanowione w postępowaniu ograniczenia nie naruszają uczciwej konkurencji. W razie braku odpowiedniego uzasadnienia, uznać należy, iż wymogi sformułowane zostały bezprawnie. Skoro zaś są one bezzasadne to i za takie uznać należy ograniczenia konkurencyjności w postępowaniu.</w:t>
      </w:r>
    </w:p>
    <w:p w14:paraId="41CDFA70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Istotą zachowania zasady uczciwej konkurencji w postępowaniu jest to, że każdy z oferentów jest w stanie zadeklarować taki produkt, który będzie miał największą szansę i możliwość zdobycia największej ilości punktów w postępowaniu. Sztuczne i bezpodstawne ograniczanie parametrów przedmiotu zamówienia stanowi naruszenie tejże zasady.</w:t>
      </w:r>
    </w:p>
    <w:p w14:paraId="160D6B03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Biorąc pod uwagę ww. sprawę należy obiektywnie stwierdzić, że nie ma żadnych obiektywnych argumentów, którymi Zamawiający mógłby uczciwie się posłużyć w celu uzasadnienia wprowadzenia takich a nie innych wymagań.</w:t>
      </w:r>
    </w:p>
    <w:p w14:paraId="1BCF2124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Jeśli Zamawiający nie uwzględni ww. wniosku to będzie to dowodziło świadomemu celowemu działaniu Zamawiającego zmierzającego do uniemożliwienia zastosowania jakiejkolwiek innej nawierzchni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>, która posiada akurat takie wyniki badan jakie odpowiadają wymaganiom Zamawiającego. Ignorując wymagania aktualnej normy.</w:t>
      </w:r>
    </w:p>
    <w:p w14:paraId="74372DC1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Zwracamy dodatkowo uwagę, że Zamawiający wydatkuje środki publiczne i rolą Zamawiającego jest wybranie oferty jak najkorzystniejszej zarówno jakościowo jak i finansowo. Dlatego powinien tak opisać przedmiot zamówienia, aby jako największa ilość oferentów mogła wystartować w tym przetargu, nie utrudniając dostępu do zamówienia potencjalnym wykonawcom. Przestrzeganie uczciwej konkurencji leży w interesie publicznym, ponieważ pozwala na zachowanie przejrzystości i kontroli wydatków publicznych oraz wybranie oferty najkorzystniejszej z punktu widzenia Zamawiającego.</w:t>
      </w:r>
    </w:p>
    <w:p w14:paraId="7A26D757" w14:textId="77777777" w:rsidR="005D7C31" w:rsidRPr="00D12F4E" w:rsidRDefault="005D7C31" w:rsidP="00E157A8">
      <w:pPr>
        <w:rPr>
          <w:rFonts w:ascii="Verdana" w:hAnsi="Verdana"/>
          <w:color w:val="4472C4" w:themeColor="accent1"/>
          <w:sz w:val="16"/>
          <w:szCs w:val="16"/>
        </w:rPr>
      </w:pPr>
    </w:p>
    <w:p w14:paraId="4CAA281E" w14:textId="77777777" w:rsidR="005D7C31" w:rsidRPr="002A3864" w:rsidRDefault="005D7C31" w:rsidP="005D7C31">
      <w:pPr>
        <w:rPr>
          <w:b/>
          <w:i/>
          <w:iCs/>
        </w:rPr>
      </w:pPr>
      <w:r w:rsidRPr="002A3864">
        <w:rPr>
          <w:b/>
          <w:i/>
          <w:color w:val="000000"/>
        </w:rPr>
        <w:lastRenderedPageBreak/>
        <w:t xml:space="preserve">Odpowiedź: </w:t>
      </w:r>
      <w:r w:rsidRPr="002A3864">
        <w:rPr>
          <w:b/>
          <w:i/>
        </w:rPr>
        <w:t xml:space="preserve">Wymagania dla nawierzchni proszę przyjąć wg normy </w:t>
      </w:r>
      <w:r w:rsidRPr="002A3864">
        <w:rPr>
          <w:b/>
          <w:i/>
          <w:iCs/>
        </w:rPr>
        <w:t>PN-EN 14877:2014-02</w:t>
      </w:r>
    </w:p>
    <w:p w14:paraId="3F2013F3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03E3307D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3DC7EA20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6.</w:t>
      </w:r>
    </w:p>
    <w:p w14:paraId="396DA8BD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Projekt podaje:</w:t>
      </w:r>
    </w:p>
    <w:p w14:paraId="3EEF2FB4" w14:textId="50E3C3C4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noProof/>
          <w:color w:val="4472C4" w:themeColor="accent1"/>
          <w:sz w:val="16"/>
          <w:szCs w:val="16"/>
          <w:lang w:eastAsia="pl-PL"/>
        </w:rPr>
        <w:drawing>
          <wp:inline distT="0" distB="0" distL="0" distR="0" wp14:anchorId="4347E000" wp14:editId="15574AF8">
            <wp:extent cx="4117340" cy="514985"/>
            <wp:effectExtent l="0" t="0" r="16510" b="184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EC72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</w:p>
    <w:p w14:paraId="734CCC5E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Informujemy, że ww. wymogi są bezpodstawne ponieważ nie ma żadnej normy, która określałaby jakiekolwiek wymagania (w tym ww. parametry) nie wnikając w ich wartości.</w:t>
      </w:r>
    </w:p>
    <w:p w14:paraId="64493532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Zgodnie ze standardami obowiązującymi w UE jedynie sama nawierzchnia sportowa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pu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 xml:space="preserve"> podlega badaniom wg normy PN-EN 14877.</w:t>
      </w:r>
    </w:p>
    <w:p w14:paraId="678AB387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Do tej pory nie zostały wprowadzone żadne regulacje, wymagania, normy odnoszące się do warstwy stabilizującej typu ET, która jest podbudową a nie nawierzchnią – to istotne dla zrozumienia istoty sprawy.</w:t>
      </w:r>
    </w:p>
    <w:p w14:paraId="4F161F41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 xml:space="preserve">Jeśli nawet ktoś wykonał dobrowolnie badania na ww. parametry to nie może to być podstawą do określenia wymagań w opisie przedmiotu zamówienia w ramach ustawy </w:t>
      </w:r>
      <w:proofErr w:type="spellStart"/>
      <w:r w:rsidRPr="00D12F4E">
        <w:rPr>
          <w:rFonts w:ascii="Verdana" w:hAnsi="Verdana"/>
          <w:color w:val="4472C4" w:themeColor="accent1"/>
          <w:sz w:val="16"/>
          <w:szCs w:val="16"/>
        </w:rPr>
        <w:t>pzp</w:t>
      </w:r>
      <w:proofErr w:type="spellEnd"/>
      <w:r w:rsidRPr="00D12F4E">
        <w:rPr>
          <w:rFonts w:ascii="Verdana" w:hAnsi="Verdana"/>
          <w:color w:val="4472C4" w:themeColor="accent1"/>
          <w:sz w:val="16"/>
          <w:szCs w:val="16"/>
        </w:rPr>
        <w:t>.</w:t>
      </w:r>
    </w:p>
    <w:p w14:paraId="1EB9D8F5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W związku z powyższym wnosimy o rezygnację z ww. wymogu dla warstwy typu ET.</w:t>
      </w:r>
    </w:p>
    <w:p w14:paraId="5AC4E866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2FA701CE" w14:textId="6AF97385" w:rsidR="005D7C31" w:rsidRPr="005D7C31" w:rsidRDefault="005D7C31" w:rsidP="00E157A8">
      <w:pPr>
        <w:rPr>
          <w:b/>
          <w:i/>
          <w:color w:val="000000"/>
        </w:rPr>
      </w:pPr>
      <w:r w:rsidRPr="002A3864">
        <w:rPr>
          <w:b/>
          <w:i/>
          <w:color w:val="000000"/>
        </w:rPr>
        <w:t xml:space="preserve">Odpowiedź: Zamawiający rezygnuje z przedstawienia wymagań dla warstwy ET określonych w projekcie, </w:t>
      </w:r>
    </w:p>
    <w:p w14:paraId="34FCFB14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4F147023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7.</w:t>
      </w:r>
    </w:p>
    <w:p w14:paraId="5E1EDBCF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 xml:space="preserve">W związku z nieuczciwymi praktykami stosowania do wierzchniej warstwy nawierzchni sportowej </w:t>
      </w:r>
      <w:proofErr w:type="spellStart"/>
      <w:r>
        <w:rPr>
          <w:rFonts w:ascii="Verdana" w:hAnsi="Verdana"/>
          <w:color w:val="0070C0"/>
          <w:sz w:val="16"/>
          <w:szCs w:val="16"/>
        </w:rPr>
        <w:t>pu</w:t>
      </w:r>
      <w:proofErr w:type="spellEnd"/>
      <w:r>
        <w:rPr>
          <w:rFonts w:ascii="Verdana" w:hAnsi="Verdana"/>
          <w:color w:val="0070C0"/>
          <w:sz w:val="16"/>
          <w:szCs w:val="16"/>
        </w:rPr>
        <w:t xml:space="preserve"> granulatów z recyklingu barwionych powierzchniowo, proszę o potwierdzenie, że Zamawiający wymaga wykonania wierzchniej warstwy nawierzchni sportowej </w:t>
      </w:r>
      <w:proofErr w:type="spellStart"/>
      <w:r>
        <w:rPr>
          <w:rFonts w:ascii="Verdana" w:hAnsi="Verdana"/>
          <w:color w:val="0070C0"/>
          <w:sz w:val="16"/>
          <w:szCs w:val="16"/>
        </w:rPr>
        <w:t>pu</w:t>
      </w:r>
      <w:proofErr w:type="spellEnd"/>
      <w:r>
        <w:rPr>
          <w:rFonts w:ascii="Verdana" w:hAnsi="Verdana"/>
          <w:color w:val="0070C0"/>
          <w:sz w:val="16"/>
          <w:szCs w:val="16"/>
        </w:rPr>
        <w:t xml:space="preserve"> zgodnie z technologią przy użyciu granulatu EPDM z pierwotnej produkcji i nie dopuszcza stosowania barwionych granulatów z recyklingu.</w:t>
      </w:r>
    </w:p>
    <w:p w14:paraId="60E38005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0A5E2A54" w14:textId="77777777" w:rsidR="005D7C31" w:rsidRPr="002A3864" w:rsidRDefault="005D7C31" w:rsidP="005D7C31">
      <w:pPr>
        <w:rPr>
          <w:b/>
          <w:i/>
          <w:color w:val="000000"/>
        </w:rPr>
      </w:pPr>
      <w:r w:rsidRPr="002A3864">
        <w:rPr>
          <w:b/>
          <w:i/>
          <w:color w:val="000000"/>
        </w:rPr>
        <w:t>Odpowiedź: Zamawiający nie dopuszcza stosowanie granulatów z recyklingu.</w:t>
      </w:r>
    </w:p>
    <w:p w14:paraId="49C0F404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0FE6E1CE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12B32845" w14:textId="25858FB5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8.</w:t>
      </w:r>
    </w:p>
    <w:p w14:paraId="7E1C9A7B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 xml:space="preserve">Wnosimy o dopuszczenie nawierzchni </w:t>
      </w:r>
      <w:proofErr w:type="spellStart"/>
      <w:r>
        <w:rPr>
          <w:rFonts w:ascii="Verdana" w:hAnsi="Verdana"/>
          <w:color w:val="0070C0"/>
          <w:sz w:val="16"/>
          <w:szCs w:val="16"/>
        </w:rPr>
        <w:t>pu</w:t>
      </w:r>
      <w:proofErr w:type="spellEnd"/>
      <w:r>
        <w:rPr>
          <w:rFonts w:ascii="Verdana" w:hAnsi="Verdana"/>
          <w:color w:val="0070C0"/>
          <w:sz w:val="16"/>
          <w:szCs w:val="16"/>
        </w:rPr>
        <w:t xml:space="preserve"> w jednym kolorze ceglasto-czerwonym lub zielonym, co spowoduje obniżenie kosztów.</w:t>
      </w:r>
    </w:p>
    <w:p w14:paraId="598A8911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32B945FD" w14:textId="1E7DE5CE" w:rsidR="005D7C31" w:rsidRPr="005D7C31" w:rsidRDefault="005D7C31" w:rsidP="00E157A8">
      <w:pPr>
        <w:rPr>
          <w:b/>
          <w:i/>
          <w:color w:val="000000"/>
        </w:rPr>
      </w:pPr>
      <w:r w:rsidRPr="002A3864">
        <w:rPr>
          <w:b/>
          <w:i/>
          <w:color w:val="000000"/>
        </w:rPr>
        <w:t>Odpowiedź: Zamawiający nie dopuszcza nawierzchni w jednym kolorze</w:t>
      </w:r>
      <w:r>
        <w:rPr>
          <w:b/>
          <w:i/>
          <w:color w:val="000000"/>
        </w:rPr>
        <w:t>.</w:t>
      </w:r>
    </w:p>
    <w:p w14:paraId="2A5F6276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2851136C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9.</w:t>
      </w:r>
    </w:p>
    <w:p w14:paraId="4962E5CF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W związku z tym, że projekt nie przewiduje drenażu, proszę o potwierdzenie, że grunt jest chłonny i woda z opadów atmosferycznych nie będzie zalegała w podbudowie.</w:t>
      </w:r>
    </w:p>
    <w:p w14:paraId="5EE5CE06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43D15929" w14:textId="77777777" w:rsidR="005D7C31" w:rsidRPr="002A3864" w:rsidRDefault="005D7C31" w:rsidP="005D7C31">
      <w:pPr>
        <w:rPr>
          <w:b/>
          <w:i/>
        </w:rPr>
      </w:pPr>
      <w:r w:rsidRPr="002A3864">
        <w:rPr>
          <w:b/>
          <w:i/>
          <w:color w:val="000000"/>
        </w:rPr>
        <w:t xml:space="preserve">Odpowiedź: Należy wykonać konstrukcję wg. dokumentacji projektowej,  </w:t>
      </w:r>
    </w:p>
    <w:p w14:paraId="311DB33E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72170C4A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793F67C5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10.</w:t>
      </w:r>
    </w:p>
    <w:p w14:paraId="107CD832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W związku z brakiem niezbędnych zapisów w projekcie umowy dotyczących możliwości zmiany umowy w zakresie zmiany terminu wykonania umowy wnosimy o wprowadzenie kolejnego pkt o treści:</w:t>
      </w:r>
    </w:p>
    <w:p w14:paraId="207EB1BC" w14:textId="77777777" w:rsidR="00E157A8" w:rsidRDefault="00E157A8" w:rsidP="00E157A8">
      <w:pPr>
        <w:rPr>
          <w:rFonts w:ascii="Verdana" w:hAnsi="Verdana"/>
          <w:b/>
          <w:bCs/>
          <w:color w:val="0070C0"/>
          <w:sz w:val="16"/>
          <w:szCs w:val="16"/>
        </w:rPr>
      </w:pPr>
      <w:r>
        <w:rPr>
          <w:rFonts w:ascii="Verdana" w:hAnsi="Verdana"/>
          <w:b/>
          <w:bCs/>
          <w:color w:val="0070C0"/>
          <w:sz w:val="16"/>
          <w:szCs w:val="16"/>
        </w:rPr>
        <w:t>Zamawiający przewiduje możliwość zmiany terminu realizacji umowy w przypadku:</w:t>
      </w:r>
    </w:p>
    <w:p w14:paraId="37753C49" w14:textId="77777777" w:rsidR="00E157A8" w:rsidRDefault="00E157A8" w:rsidP="00E157A8">
      <w:pPr>
        <w:rPr>
          <w:rFonts w:ascii="Verdana" w:hAnsi="Verdana"/>
          <w:b/>
          <w:bCs/>
          <w:color w:val="0070C0"/>
          <w:sz w:val="16"/>
          <w:szCs w:val="16"/>
        </w:rPr>
      </w:pPr>
      <w:r>
        <w:rPr>
          <w:rFonts w:ascii="Verdana" w:hAnsi="Verdana"/>
          <w:b/>
          <w:bCs/>
          <w:color w:val="0070C0"/>
          <w:sz w:val="16"/>
          <w:szCs w:val="16"/>
        </w:rPr>
        <w:t xml:space="preserve">- siły wyższej, </w:t>
      </w:r>
    </w:p>
    <w:p w14:paraId="27967ED5" w14:textId="77777777" w:rsidR="00E157A8" w:rsidRDefault="00E157A8" w:rsidP="00E157A8">
      <w:pPr>
        <w:rPr>
          <w:rFonts w:ascii="Verdana" w:hAnsi="Verdana"/>
          <w:b/>
          <w:bCs/>
          <w:color w:val="0070C0"/>
          <w:sz w:val="16"/>
          <w:szCs w:val="16"/>
        </w:rPr>
      </w:pPr>
      <w:r>
        <w:rPr>
          <w:rFonts w:ascii="Verdana" w:hAnsi="Verdana"/>
          <w:b/>
          <w:bCs/>
          <w:color w:val="0070C0"/>
          <w:sz w:val="16"/>
          <w:szCs w:val="16"/>
        </w:rPr>
        <w:t xml:space="preserve">- klęsk żywiołowych, </w:t>
      </w:r>
    </w:p>
    <w:p w14:paraId="538C81B3" w14:textId="77777777" w:rsidR="00E157A8" w:rsidRDefault="00E157A8" w:rsidP="00E157A8">
      <w:pPr>
        <w:rPr>
          <w:rFonts w:ascii="Verdana" w:hAnsi="Verdana"/>
          <w:b/>
          <w:bCs/>
          <w:color w:val="0070C0"/>
          <w:sz w:val="16"/>
          <w:szCs w:val="16"/>
        </w:rPr>
      </w:pPr>
      <w:r>
        <w:rPr>
          <w:rFonts w:ascii="Verdana" w:hAnsi="Verdana"/>
          <w:b/>
          <w:bCs/>
          <w:color w:val="0070C0"/>
          <w:sz w:val="16"/>
          <w:szCs w:val="16"/>
        </w:rPr>
        <w:t>- wystąpienia warunków atmosferycznych uniemożliwiających wykonywanie robót zgodnie z technologią.</w:t>
      </w:r>
    </w:p>
    <w:p w14:paraId="5058A570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Powyższe jest niezbędne dla zapewnienia wykonawcy możliwości zmiany terminu wykonania robót w przypadku ww. okoliczności, sytuacji od niego obiektywnie niezależnych.</w:t>
      </w:r>
    </w:p>
    <w:p w14:paraId="73CFABBA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W związku z powyższym wnosimy o wprowadzenie zapisu jak na wstępie.</w:t>
      </w:r>
    </w:p>
    <w:p w14:paraId="74FFE5AF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181B7126" w14:textId="077B1019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  <w:r w:rsidRPr="002A3864">
        <w:rPr>
          <w:b/>
          <w:i/>
          <w:color w:val="000000"/>
        </w:rPr>
        <w:t xml:space="preserve">Odpowiedź: Obowiązuje wzór umowy pierwotnie udostępniony </w:t>
      </w:r>
      <w:r>
        <w:rPr>
          <w:b/>
          <w:i/>
          <w:color w:val="000000"/>
        </w:rPr>
        <w:t xml:space="preserve">na stronie prowadzonego postępowania, </w:t>
      </w:r>
    </w:p>
    <w:p w14:paraId="00FBE9F2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5B4AA7A1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11.</w:t>
      </w:r>
    </w:p>
    <w:p w14:paraId="5A0DA69A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Czy w ramach strefy zamawianych robót występują jakiekolwiek sieci lub inne kolizje?</w:t>
      </w:r>
    </w:p>
    <w:p w14:paraId="58BD4274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Jeśli występują to wnosimy o udostępnienie stosownej inwentaryzacji z opisem i mapą.</w:t>
      </w:r>
    </w:p>
    <w:p w14:paraId="0E31BA33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173461AB" w14:textId="77777777" w:rsidR="005D7C31" w:rsidRPr="002A3864" w:rsidRDefault="005D7C31" w:rsidP="005D7C31">
      <w:pPr>
        <w:rPr>
          <w:b/>
          <w:i/>
          <w:color w:val="000000"/>
        </w:rPr>
      </w:pPr>
      <w:r w:rsidRPr="002A3864">
        <w:rPr>
          <w:b/>
          <w:i/>
          <w:color w:val="000000"/>
        </w:rPr>
        <w:t xml:space="preserve">Odpowiedź: Według mapy zasadniczej, prowadzonej w Starostwie Powiatowym w Zielonej Górze wynika, że na terenie inwestycji nie występują sieci uzbrojenia terenu. </w:t>
      </w:r>
    </w:p>
    <w:p w14:paraId="24C0E596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6FAB342E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15FDB2F6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12.</w:t>
      </w:r>
    </w:p>
    <w:p w14:paraId="40C750B9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  <w:lang w:val="en-US"/>
        </w:rPr>
      </w:pP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Proszę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o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potwierdzenie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,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że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Zamawiający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udostepnił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całą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rzetelnie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przygotowaną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dokumentację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projektową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,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techniczną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niezbędną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do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wykonania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przedmiotu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zamówienia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oraz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że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dokumentacja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ta jest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kompletna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o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odzwierciedla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stan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faktyczny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w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zakresie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warunków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realizacji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zamówienia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,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zaś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brak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jakichkowliek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dokumentów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istotnych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dla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oceny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warunków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realizacji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inwestycji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nie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obciąża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en-US"/>
        </w:rPr>
        <w:t>Wykonawcy</w:t>
      </w:r>
      <w:proofErr w:type="spellEnd"/>
      <w:r>
        <w:rPr>
          <w:rFonts w:ascii="Verdana" w:hAnsi="Verdana"/>
          <w:color w:val="0070C0"/>
          <w:sz w:val="16"/>
          <w:szCs w:val="16"/>
          <w:lang w:val="en-US"/>
        </w:rPr>
        <w:t>.</w:t>
      </w:r>
    </w:p>
    <w:p w14:paraId="11881DBF" w14:textId="42DCD406" w:rsidR="005D7C31" w:rsidRPr="005D7C31" w:rsidRDefault="005D7C31" w:rsidP="00E157A8">
      <w:pPr>
        <w:rPr>
          <w:b/>
          <w:i/>
          <w:color w:val="000000"/>
        </w:rPr>
      </w:pPr>
      <w:r w:rsidRPr="002A3864">
        <w:rPr>
          <w:b/>
          <w:i/>
          <w:color w:val="000000"/>
        </w:rPr>
        <w:lastRenderedPageBreak/>
        <w:t>Odpowiedź: Zamawiający udostępnił całą dokumentację proj</w:t>
      </w:r>
      <w:r>
        <w:rPr>
          <w:b/>
          <w:i/>
          <w:color w:val="000000"/>
        </w:rPr>
        <w:t xml:space="preserve">ektową,  </w:t>
      </w:r>
    </w:p>
    <w:p w14:paraId="39709C61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302C008B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13.</w:t>
      </w:r>
    </w:p>
    <w:p w14:paraId="231D9D07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14:paraId="2CBED0FC" w14:textId="77777777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</w:p>
    <w:p w14:paraId="2F641A95" w14:textId="2DD1740D" w:rsidR="005D7C31" w:rsidRDefault="005D7C31" w:rsidP="00E157A8">
      <w:pPr>
        <w:rPr>
          <w:rFonts w:ascii="Verdana" w:hAnsi="Verdana"/>
          <w:color w:val="0070C0"/>
          <w:sz w:val="16"/>
          <w:szCs w:val="16"/>
        </w:rPr>
      </w:pPr>
      <w:r w:rsidRPr="002A3864">
        <w:rPr>
          <w:b/>
          <w:i/>
          <w:color w:val="000000"/>
        </w:rPr>
        <w:t>Odpowiedź: Zamawiający posiada prawo do dysponowania nieruchomością na cele budowlane. Zamawiający dokonał zgłoszenia robót budowlanych (potrzymał potwierdzenie braku sprzeciwu),</w:t>
      </w:r>
    </w:p>
    <w:p w14:paraId="421DE8CA" w14:textId="77777777" w:rsidR="00E157A8" w:rsidRDefault="00E157A8" w:rsidP="00E157A8">
      <w:pPr>
        <w:rPr>
          <w:rFonts w:ascii="Verdana" w:hAnsi="Verdana"/>
          <w:color w:val="0070C0"/>
          <w:sz w:val="16"/>
          <w:szCs w:val="16"/>
        </w:rPr>
      </w:pPr>
    </w:p>
    <w:p w14:paraId="10785FA8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14.</w:t>
      </w:r>
    </w:p>
    <w:p w14:paraId="74FA7470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Umowa w §2 podaje:</w:t>
      </w:r>
    </w:p>
    <w:p w14:paraId="4751E6AC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Wykonawca oświadcza, że zakres robót budowlanych określony w § 2 nie budzi</w:t>
      </w:r>
    </w:p>
    <w:p w14:paraId="2C0B233C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wątpliwości. Wykonawca wyklucza możliwość powoływania się na niezrozumienie zakresu</w:t>
      </w:r>
    </w:p>
    <w:p w14:paraId="42538AF7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oraz treści przedmiotu umowy jako podstawę roszczeń o zwiększenie wynagrodzenia oraz</w:t>
      </w:r>
    </w:p>
    <w:p w14:paraId="1A06FB3A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potwierdza, że nie będzie żądał podwyższenia wynagrodzenia wskutek złego oszacowania</w:t>
      </w:r>
    </w:p>
    <w:p w14:paraId="18E09D37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rozmiaru lub kosztów prac, nawet gdyby w czasie zawarcia umowy nie można było ich</w:t>
      </w:r>
    </w:p>
    <w:p w14:paraId="7BFC02D8" w14:textId="77777777" w:rsidR="00E157A8" w:rsidRPr="00D12F4E" w:rsidRDefault="00E157A8" w:rsidP="00E157A8">
      <w:pPr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D12F4E">
        <w:rPr>
          <w:rFonts w:ascii="Arial" w:hAnsi="Arial" w:cs="Arial"/>
          <w:i/>
          <w:iCs/>
          <w:color w:val="4472C4" w:themeColor="accent1"/>
          <w:sz w:val="20"/>
          <w:szCs w:val="20"/>
        </w:rPr>
        <w:t>przewidzieć.</w:t>
      </w:r>
    </w:p>
    <w:p w14:paraId="0E061DB2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Powyższy zapis jest niefortunny ponieważ przenosi odpowiedzialność za nierzetelnie przygotowaną dokumentację na wykonawcę, co nie może mieć miejsca.</w:t>
      </w:r>
    </w:p>
    <w:p w14:paraId="1BADE7A5" w14:textId="77777777" w:rsidR="00E157A8" w:rsidRPr="00D12F4E" w:rsidRDefault="00E157A8" w:rsidP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W związku z powyższym wnosimy o dodanie do ww. zapisu:</w:t>
      </w:r>
    </w:p>
    <w:p w14:paraId="1FCC14DF" w14:textId="691B6627" w:rsidR="00A053AE" w:rsidRPr="00D12F4E" w:rsidRDefault="00E157A8">
      <w:pPr>
        <w:rPr>
          <w:rFonts w:ascii="Verdana" w:hAnsi="Verdana"/>
          <w:color w:val="4472C4" w:themeColor="accent1"/>
          <w:sz w:val="16"/>
          <w:szCs w:val="16"/>
        </w:rPr>
      </w:pPr>
      <w:r w:rsidRPr="00D12F4E">
        <w:rPr>
          <w:rFonts w:ascii="Verdana" w:hAnsi="Verdana"/>
          <w:color w:val="4472C4" w:themeColor="accent1"/>
          <w:sz w:val="16"/>
          <w:szCs w:val="16"/>
        </w:rPr>
        <w:t>„</w:t>
      </w:r>
      <w:r w:rsidRPr="00D12F4E">
        <w:rPr>
          <w:rFonts w:ascii="Verdana" w:hAnsi="Verdana"/>
          <w:i/>
          <w:iCs/>
          <w:color w:val="4472C4" w:themeColor="accent1"/>
          <w:sz w:val="16"/>
          <w:szCs w:val="16"/>
        </w:rPr>
        <w:t>pod warunkiem, że udostępniona przez Zamawiającego dokumentacja przetargowa została rzetelnie przygotowana i jest wolna od wad.</w:t>
      </w:r>
      <w:r w:rsidRPr="00D12F4E">
        <w:rPr>
          <w:rFonts w:ascii="Verdana" w:hAnsi="Verdana"/>
          <w:color w:val="4472C4" w:themeColor="accent1"/>
          <w:sz w:val="16"/>
          <w:szCs w:val="16"/>
        </w:rPr>
        <w:t>”.</w:t>
      </w:r>
    </w:p>
    <w:p w14:paraId="4E751424" w14:textId="77777777" w:rsidR="005D7C31" w:rsidRDefault="005D7C31">
      <w:pPr>
        <w:rPr>
          <w:rFonts w:ascii="Verdana" w:hAnsi="Verdana"/>
          <w:color w:val="0070C0"/>
          <w:sz w:val="16"/>
          <w:szCs w:val="16"/>
        </w:rPr>
      </w:pPr>
    </w:p>
    <w:p w14:paraId="1B4AE7D5" w14:textId="7C626139" w:rsidR="005D7C31" w:rsidRDefault="005D7C31" w:rsidP="005D7C31">
      <w:pPr>
        <w:rPr>
          <w:b/>
          <w:i/>
          <w:color w:val="000000"/>
        </w:rPr>
      </w:pPr>
      <w:r w:rsidRPr="002A3864">
        <w:rPr>
          <w:b/>
          <w:i/>
          <w:color w:val="000000"/>
        </w:rPr>
        <w:t xml:space="preserve">Odpowiedź: Obowiązuje wzór umowy pierwotnie udostępniony </w:t>
      </w:r>
      <w:r>
        <w:rPr>
          <w:b/>
          <w:i/>
          <w:color w:val="000000"/>
        </w:rPr>
        <w:t xml:space="preserve">na stronie prowadzonego postępowania, </w:t>
      </w:r>
    </w:p>
    <w:p w14:paraId="7C928024" w14:textId="77777777" w:rsidR="005D7C31" w:rsidRDefault="005D7C31"/>
    <w:sectPr w:rsidR="005D7C31" w:rsidSect="00E157A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A8"/>
    <w:rsid w:val="005D7C31"/>
    <w:rsid w:val="00A053AE"/>
    <w:rsid w:val="00D12F4E"/>
    <w:rsid w:val="00E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4956"/>
  <w15:chartTrackingRefBased/>
  <w15:docId w15:val="{F6F9BAD7-F1CA-4EB5-8513-0DDB16FD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A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57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D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F0FA.72BDF4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p.waw.pl/is-pib/laboratorium-nawierzchni-sportowych" TargetMode="External"/><Relationship Id="rId5" Type="http://schemas.openxmlformats.org/officeDocument/2006/relationships/image" Target="cid:image002.png@01D6F0FA.72BDF43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 Witkowski</dc:creator>
  <cp:keywords/>
  <dc:description/>
  <cp:lastModifiedBy>RK</cp:lastModifiedBy>
  <cp:revision>2</cp:revision>
  <dcterms:created xsi:type="dcterms:W3CDTF">2021-05-12T13:34:00Z</dcterms:created>
  <dcterms:modified xsi:type="dcterms:W3CDTF">2021-05-12T13:34:00Z</dcterms:modified>
</cp:coreProperties>
</file>