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4D29A5B7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9A3753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71965E9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097644">
        <w:rPr>
          <w:rFonts w:ascii="Arial" w:hAnsi="Arial" w:cs="Arial"/>
          <w:b/>
          <w:bCs/>
        </w:rPr>
        <w:t>rok 202</w:t>
      </w:r>
      <w:r w:rsidR="009A3753">
        <w:rPr>
          <w:rFonts w:ascii="Arial" w:hAnsi="Arial" w:cs="Arial"/>
          <w:b/>
          <w:bCs/>
        </w:rPr>
        <w:t>4</w:t>
      </w:r>
      <w:r w:rsidR="00C67C50">
        <w:rPr>
          <w:rFonts w:ascii="Arial" w:hAnsi="Arial" w:cs="Arial"/>
          <w:b/>
          <w:bCs/>
        </w:rPr>
        <w:t xml:space="preserve"> - 202</w:t>
      </w:r>
      <w:r w:rsidR="009A3753">
        <w:rPr>
          <w:rFonts w:ascii="Arial" w:hAnsi="Arial" w:cs="Arial"/>
          <w:b/>
          <w:bCs/>
        </w:rPr>
        <w:t>7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38FF864B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</w:t>
      </w:r>
      <w:r w:rsidR="00651B96" w:rsidRPr="00651B96">
        <w:rPr>
          <w:rFonts w:ascii="Arial" w:hAnsi="Arial" w:cs="Arial"/>
          <w:b/>
          <w:bCs/>
        </w:rPr>
        <w:t>energii elektrycznej dla podmiotów wskazanych w SWZ na rok 202</w:t>
      </w:r>
      <w:r w:rsidR="009A3753">
        <w:rPr>
          <w:rFonts w:ascii="Arial" w:hAnsi="Arial" w:cs="Arial"/>
          <w:b/>
          <w:bCs/>
        </w:rPr>
        <w:t>5</w:t>
      </w:r>
    </w:p>
    <w:p w14:paraId="5771822C" w14:textId="233906DD" w:rsidR="00651B96" w:rsidRPr="00097644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</w:t>
      </w:r>
      <w:r w:rsidR="009A3753">
        <w:rPr>
          <w:rFonts w:ascii="Arial" w:hAnsi="Arial" w:cs="Arial"/>
          <w:b/>
          <w:bCs/>
        </w:rPr>
        <w:t>a</w:t>
      </w:r>
      <w:r w:rsidRPr="00651B96">
        <w:rPr>
          <w:rFonts w:ascii="Arial" w:hAnsi="Arial" w:cs="Arial"/>
          <w:b/>
          <w:bCs/>
        </w:rPr>
        <w:t xml:space="preserve"> </w:t>
      </w:r>
      <w:r w:rsidR="009A3753">
        <w:rPr>
          <w:rFonts w:ascii="Arial" w:hAnsi="Arial" w:cs="Arial"/>
          <w:b/>
          <w:bCs/>
        </w:rPr>
        <w:t>A</w:t>
      </w:r>
      <w:r w:rsidRPr="00651B96">
        <w:rPr>
          <w:rFonts w:ascii="Arial" w:hAnsi="Arial" w:cs="Arial"/>
          <w:b/>
          <w:bCs/>
        </w:rPr>
        <w:t>xx)</w:t>
      </w:r>
      <w:r w:rsidR="00097644"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B7BF" w14:textId="77777777" w:rsidR="00920D46" w:rsidRDefault="00920D46">
      <w:r>
        <w:separator/>
      </w:r>
    </w:p>
  </w:endnote>
  <w:endnote w:type="continuationSeparator" w:id="0">
    <w:p w14:paraId="7EEED9BF" w14:textId="77777777" w:rsidR="00920D46" w:rsidRDefault="0092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A1D5" w14:textId="77777777" w:rsidR="00920D46" w:rsidRDefault="00920D46">
      <w:r>
        <w:separator/>
      </w:r>
    </w:p>
  </w:footnote>
  <w:footnote w:type="continuationSeparator" w:id="0">
    <w:p w14:paraId="0098D5F4" w14:textId="77777777" w:rsidR="00920D46" w:rsidRDefault="00920D46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920D46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920D46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920D46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4AF6362C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4AF6362C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0EE6892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D6EC72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95AD024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C8C183E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11A747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D3E1658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F6F39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169FEA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4AF6362C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0EE6892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D6EC72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95AD024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C8C183E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11A747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D3E1658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F6F39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169FEA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2101D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62</cp:revision>
  <dcterms:created xsi:type="dcterms:W3CDTF">2022-02-03T20:42:00Z</dcterms:created>
  <dcterms:modified xsi:type="dcterms:W3CDTF">2024-08-12T10:29:00Z</dcterms:modified>
  <cp:category/>
</cp:coreProperties>
</file>