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8BFDE" w14:textId="3DD40D46" w:rsidR="009B122A" w:rsidRPr="008174AE" w:rsidRDefault="009B122A" w:rsidP="008174AE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174AE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14:paraId="180670E2" w14:textId="77777777" w:rsidR="009B122A" w:rsidRPr="008174AE" w:rsidRDefault="009B122A" w:rsidP="008174AE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5A75608" w14:textId="1E5550B4" w:rsidR="009B122A" w:rsidRPr="008174AE" w:rsidRDefault="009B122A" w:rsidP="008174AE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174AE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8174AE">
        <w:rPr>
          <w:rFonts w:ascii="Calibri" w:hAnsi="Calibri" w:cs="Calibri"/>
          <w:b/>
          <w:bCs/>
          <w:sz w:val="24"/>
          <w:szCs w:val="24"/>
        </w:rPr>
        <w:t>3</w:t>
      </w:r>
      <w:r w:rsidRPr="008174AE">
        <w:rPr>
          <w:rFonts w:ascii="Calibri" w:hAnsi="Calibri" w:cs="Calibri"/>
          <w:b/>
          <w:bCs/>
          <w:sz w:val="24"/>
          <w:szCs w:val="24"/>
        </w:rPr>
        <w:t xml:space="preserve">: </w:t>
      </w:r>
      <w:r w:rsidR="008174AE" w:rsidRPr="008174AE">
        <w:rPr>
          <w:rFonts w:ascii="Calibri" w:hAnsi="Calibri" w:cs="Calibri"/>
          <w:b/>
          <w:bCs/>
          <w:sz w:val="24"/>
          <w:szCs w:val="24"/>
        </w:rPr>
        <w:t>System do gromadzenia, monitorowania i analizy logów z urządzeń w Urzędzie Miejskim w Nowym Tomyślu</w:t>
      </w:r>
    </w:p>
    <w:p w14:paraId="23568A23" w14:textId="559970D3" w:rsidR="00F97346" w:rsidRDefault="00F97346" w:rsidP="005D2EDD">
      <w:pPr>
        <w:pStyle w:val="Nagwek1"/>
        <w:spacing w:line="276" w:lineRule="auto"/>
        <w:rPr>
          <w:rFonts w:cs="Calibri"/>
          <w:szCs w:val="24"/>
        </w:rPr>
      </w:pPr>
      <w:r w:rsidRPr="008174AE">
        <w:rPr>
          <w:rFonts w:cs="Calibri"/>
          <w:szCs w:val="24"/>
        </w:rPr>
        <w:t xml:space="preserve">Szczegółowe wymagania techniczne dla </w:t>
      </w:r>
      <w:r w:rsidR="008174AE" w:rsidRPr="008174AE">
        <w:rPr>
          <w:rFonts w:cs="Calibri"/>
          <w:szCs w:val="24"/>
        </w:rPr>
        <w:t>systemu do gromadzenia, monitorowania i analizy logów z urządzeń w Urzędzie Miejskim w Nowym Tomyślu</w:t>
      </w:r>
      <w:r w:rsidRPr="008174AE">
        <w:rPr>
          <w:rFonts w:cs="Calibri"/>
          <w:szCs w:val="24"/>
        </w:rPr>
        <w:t xml:space="preserve">. </w:t>
      </w:r>
      <w:r w:rsidR="008174AE" w:rsidRPr="008174AE">
        <w:rPr>
          <w:rFonts w:cs="Calibri"/>
          <w:szCs w:val="24"/>
        </w:rPr>
        <w:t>W ramach postępowania wymaganym jest dostarczenie</w:t>
      </w:r>
      <w:r w:rsidR="001119E0">
        <w:rPr>
          <w:rFonts w:cs="Calibri"/>
          <w:szCs w:val="24"/>
        </w:rPr>
        <w:t xml:space="preserve"> centralnego</w:t>
      </w:r>
      <w:r w:rsidR="008174AE" w:rsidRPr="008174AE">
        <w:rPr>
          <w:rFonts w:cs="Calibri"/>
          <w:szCs w:val="24"/>
        </w:rPr>
        <w:t xml:space="preserve"> systemu </w:t>
      </w:r>
      <w:r w:rsidR="001119E0">
        <w:rPr>
          <w:rFonts w:cs="Calibri"/>
          <w:szCs w:val="24"/>
        </w:rPr>
        <w:t>gromadzenia i analizy logów</w:t>
      </w:r>
      <w:r w:rsidR="008174AE" w:rsidRPr="008174AE">
        <w:rPr>
          <w:rFonts w:cs="Calibri"/>
          <w:szCs w:val="24"/>
        </w:rPr>
        <w:t xml:space="preserve"> o poniższych parametrach.</w:t>
      </w:r>
    </w:p>
    <w:p w14:paraId="5315CDBD" w14:textId="77777777" w:rsidR="00974ACD" w:rsidRDefault="00974ACD" w:rsidP="00974ACD"/>
    <w:p w14:paraId="2B8869F3" w14:textId="158C48AA" w:rsidR="005D2EDD" w:rsidRPr="005D2EDD" w:rsidRDefault="00974ACD" w:rsidP="001E6592">
      <w:pPr>
        <w:spacing w:line="360" w:lineRule="auto"/>
        <w:rPr>
          <w:sz w:val="24"/>
          <w:szCs w:val="24"/>
        </w:rPr>
      </w:pPr>
      <w:r w:rsidRPr="001E6592">
        <w:rPr>
          <w:sz w:val="24"/>
          <w:szCs w:val="24"/>
        </w:rPr>
        <w:t>Wymagana dostawa systemu wraz z wdrożeniem i implementacją w środowisku zamawiającego zgodnie z wymaganiami zamawiającego. Sprawdzenie poprawności działania przedmiotu zamówienia w środowisku zamawiającego oraz szkoleniem z obsługi systemu.</w:t>
      </w:r>
    </w:p>
    <w:p w14:paraId="17E68872" w14:textId="77777777" w:rsidR="00F97346" w:rsidRPr="008174AE" w:rsidRDefault="00F97346" w:rsidP="001E6592">
      <w:pPr>
        <w:pStyle w:val="Akapitzlist"/>
        <w:spacing w:after="0" w:line="360" w:lineRule="auto"/>
        <w:ind w:left="-142"/>
        <w:rPr>
          <w:rFonts w:ascii="Calibri" w:hAnsi="Calibri" w:cs="Calibri"/>
          <w:b/>
          <w:bCs/>
          <w:sz w:val="24"/>
          <w:szCs w:val="24"/>
        </w:rPr>
      </w:pPr>
    </w:p>
    <w:p w14:paraId="2429C48F" w14:textId="1B68A09E" w:rsidR="00F97346" w:rsidRPr="008174AE" w:rsidRDefault="00F97346" w:rsidP="008174AE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8174AE">
        <w:rPr>
          <w:rFonts w:ascii="Calibri" w:hAnsi="Calibri" w:cs="Calibri"/>
          <w:sz w:val="24"/>
          <w:szCs w:val="24"/>
        </w:rPr>
        <w:t>Miejsce dostawy: Urząd Miejski w Nowym Tomyślu, ul. Poznańska 33, 64-300 Nowy Tomyśl</w:t>
      </w:r>
    </w:p>
    <w:p w14:paraId="7E9A6500" w14:textId="76918304" w:rsidR="001A350C" w:rsidRPr="008174AE" w:rsidRDefault="001A350C" w:rsidP="008174AE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8174AE" w:rsidRPr="008174AE" w14:paraId="0841D28A" w14:textId="77777777" w:rsidTr="008174AE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D3F70DB" w14:textId="699CA59E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55D93136" w14:textId="17596C14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b/>
                <w:bCs/>
                <w:sz w:val="24"/>
                <w:szCs w:val="24"/>
              </w:rPr>
              <w:t>Wymagania minimalne</w:t>
            </w:r>
          </w:p>
        </w:tc>
      </w:tr>
      <w:tr w:rsidR="008174AE" w:rsidRPr="008174AE" w14:paraId="562975DD" w14:textId="77777777" w:rsidTr="008174AE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6774D0D" w14:textId="7BC0C137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D0D98D4" w14:textId="5C93FA21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Wymagania związane z rozwiązaniem centralnego składowania dzienników zdarzeń:</w:t>
            </w:r>
          </w:p>
        </w:tc>
      </w:tr>
      <w:tr w:rsidR="008174AE" w:rsidRPr="008174AE" w14:paraId="1D6D52D5" w14:textId="77777777" w:rsidTr="008174AE">
        <w:tc>
          <w:tcPr>
            <w:tcW w:w="831" w:type="dxa"/>
            <w:shd w:val="clear" w:color="auto" w:fill="auto"/>
            <w:vAlign w:val="center"/>
          </w:tcPr>
          <w:p w14:paraId="386C63BB" w14:textId="42CD703A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E96035A" w14:textId="33EFAD0A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System operacyjny powinien być na licencji Open Source.</w:t>
            </w:r>
          </w:p>
        </w:tc>
      </w:tr>
      <w:tr w:rsidR="008174AE" w:rsidRPr="008174AE" w14:paraId="3B4C301E" w14:textId="77777777" w:rsidTr="008174AE">
        <w:tc>
          <w:tcPr>
            <w:tcW w:w="831" w:type="dxa"/>
            <w:shd w:val="clear" w:color="auto" w:fill="auto"/>
            <w:vAlign w:val="center"/>
          </w:tcPr>
          <w:p w14:paraId="3A343142" w14:textId="5848A294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9FF76AC" w14:textId="0CCE2570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Platformą sprzętowa dla rozwiązania centralnego składowania dzienników jest w sieci Zamawiającego wirtualna maszyna w środowisku Hyper-V. </w:t>
            </w:r>
          </w:p>
        </w:tc>
      </w:tr>
      <w:tr w:rsidR="008174AE" w:rsidRPr="008174AE" w14:paraId="41AF002F" w14:textId="77777777" w:rsidTr="008174AE">
        <w:tc>
          <w:tcPr>
            <w:tcW w:w="831" w:type="dxa"/>
            <w:shd w:val="clear" w:color="auto" w:fill="auto"/>
            <w:vAlign w:val="center"/>
          </w:tcPr>
          <w:p w14:paraId="19292DB1" w14:textId="0F1FF25C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7127283" w14:textId="5B7EF421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Architektura systemu powinna bazować na komponentach o licencjonowaniu Open Source</w:t>
            </w:r>
          </w:p>
        </w:tc>
      </w:tr>
      <w:tr w:rsidR="008174AE" w:rsidRPr="008174AE" w14:paraId="48007671" w14:textId="77777777" w:rsidTr="008174AE">
        <w:tc>
          <w:tcPr>
            <w:tcW w:w="831" w:type="dxa"/>
            <w:shd w:val="clear" w:color="auto" w:fill="auto"/>
            <w:vAlign w:val="center"/>
          </w:tcPr>
          <w:p w14:paraId="07171AD4" w14:textId="08849535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bCs/>
                <w:sz w:val="24"/>
                <w:szCs w:val="24"/>
              </w:rPr>
              <w:t>1.4.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EF715AF" w14:textId="306889E7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sz w:val="24"/>
                <w:szCs w:val="24"/>
              </w:rPr>
              <w:t>Zamawiający na wyżej wymieniony cel planuje przeznaczyć maszynę wirtualną  o parametrach procesor (CPU) 8 rdzeni, pamięć RAM 16 GB oraz dysk twardy (HDD) 1,76 TB.</w:t>
            </w:r>
            <w:r w:rsidRPr="008174AE">
              <w:rPr>
                <w:rFonts w:ascii="Calibri" w:hAnsi="Calibri" w:cs="Calibri"/>
                <w:sz w:val="24"/>
                <w:szCs w:val="24"/>
              </w:rPr>
              <w:br/>
              <w:t xml:space="preserve">Dodatkowo zamawiający dopuszcza wykorzystanie posiadanego przez zamawiającego NAS o pojemności 10 TB do przechowywania danych. </w:t>
            </w:r>
          </w:p>
        </w:tc>
      </w:tr>
      <w:tr w:rsidR="008174AE" w:rsidRPr="008174AE" w14:paraId="09442275" w14:textId="77777777" w:rsidTr="008174AE">
        <w:tc>
          <w:tcPr>
            <w:tcW w:w="831" w:type="dxa"/>
            <w:shd w:val="clear" w:color="auto" w:fill="auto"/>
            <w:vAlign w:val="center"/>
          </w:tcPr>
          <w:p w14:paraId="19F0EF80" w14:textId="561460AC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B7062E5" w14:textId="357F3CAF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Tworzenie użytkowników w systemie centralnego składowania logów może odbywać się z wykorzystaniem zewnętrznego źródła tożsamości użytkowników (Active Directory) lub ręcznie przez definiowanie kont w samym rozwiązaniu.</w:t>
            </w:r>
          </w:p>
        </w:tc>
      </w:tr>
      <w:tr w:rsidR="008174AE" w:rsidRPr="008174AE" w14:paraId="2B59DD15" w14:textId="77777777" w:rsidTr="008174AE">
        <w:trPr>
          <w:trHeight w:val="418"/>
        </w:trPr>
        <w:tc>
          <w:tcPr>
            <w:tcW w:w="831" w:type="dxa"/>
            <w:shd w:val="clear" w:color="auto" w:fill="auto"/>
            <w:vAlign w:val="center"/>
          </w:tcPr>
          <w:p w14:paraId="4110A963" w14:textId="660AAD82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50F7E44" w14:textId="16AD76E9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System centralnego składowania dzienników zdarzeń powinien mieć możliwość zdefiniowania dowolnie wielu i dowolnie skonfigurowanych źródeł danych, wśród których znajdują się m.in.: Sysloga UDP/TCP, Plaintext UDP/TCP, RAW UDP/TCP, NetFlow UDP, JSON, Beat, CEF UDP/TCP. Konfiguracja źródeł danych powinna pozwalać na zdefiniowanie dowolnego portu komunikacji, np. Syslog UDP 514 lub/i Syslog UDP 10514.</w:t>
            </w:r>
          </w:p>
        </w:tc>
      </w:tr>
      <w:tr w:rsidR="008174AE" w:rsidRPr="008174AE" w14:paraId="1B4ACD8A" w14:textId="77777777" w:rsidTr="008174AE">
        <w:tc>
          <w:tcPr>
            <w:tcW w:w="831" w:type="dxa"/>
            <w:shd w:val="clear" w:color="auto" w:fill="auto"/>
            <w:vAlign w:val="center"/>
          </w:tcPr>
          <w:p w14:paraId="0C69995A" w14:textId="66F16EF4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F9AADA8" w14:textId="770E114D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System centralnego składowania dzienników zdarzeń powinien mieć możliwość ekstrakcji fragmentów wpisów logów  z możliwością wykorzystania ich do filtrowania danych, budowania zapytań dla powiadomień i alarmów czy widoków w ramach dashboardów oraz ich import jak i eksport.</w:t>
            </w:r>
          </w:p>
        </w:tc>
      </w:tr>
      <w:tr w:rsidR="008174AE" w:rsidRPr="008174AE" w14:paraId="0A5FA4C8" w14:textId="77777777" w:rsidTr="008174AE">
        <w:tc>
          <w:tcPr>
            <w:tcW w:w="831" w:type="dxa"/>
            <w:shd w:val="clear" w:color="auto" w:fill="auto"/>
            <w:vAlign w:val="center"/>
          </w:tcPr>
          <w:p w14:paraId="350D5E35" w14:textId="38C0D435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88438E5" w14:textId="71BAAB2F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System centralnego składowania dzienników zdarzeń powinien udostępniać możliwość budowania widoków w formie dashboardów, które w łatwy sposób można udostępnić w trypie ReadOnly (tylko do odczytu) na urządzeniach z funkcją SMART-TV czy urządzeniach z dowolną przeglądarką WWW.</w:t>
            </w:r>
          </w:p>
        </w:tc>
      </w:tr>
      <w:tr w:rsidR="008174AE" w:rsidRPr="008174AE" w14:paraId="3B623671" w14:textId="77777777" w:rsidTr="008174AE">
        <w:tc>
          <w:tcPr>
            <w:tcW w:w="831" w:type="dxa"/>
            <w:shd w:val="clear" w:color="auto" w:fill="auto"/>
            <w:vAlign w:val="center"/>
          </w:tcPr>
          <w:p w14:paraId="2BF06212" w14:textId="6F52A50F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B0FB7FD" w14:textId="21461FCA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System centralnego składowania dzienników zdarzeń powinien pozwalać na budowanie powiadomień (alarmów) w oparciu o reguły, które uwzględniają napływające dane z dzienników systemowych w sieci Zamawiającego.</w:t>
            </w:r>
          </w:p>
        </w:tc>
      </w:tr>
      <w:tr w:rsidR="008174AE" w:rsidRPr="008174AE" w14:paraId="5B18D1DE" w14:textId="77777777" w:rsidTr="008174AE">
        <w:tc>
          <w:tcPr>
            <w:tcW w:w="831" w:type="dxa"/>
            <w:shd w:val="clear" w:color="auto" w:fill="auto"/>
            <w:vAlign w:val="center"/>
          </w:tcPr>
          <w:p w14:paraId="51644E28" w14:textId="1EF84FA0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B1B7C7A" w14:textId="1A3E49A6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System centralnego składowania dzienników zdarzeń powinien mieć możliwość tworzenia paczek składających się ze skonfigurowanych źródeł nasłuchu danych wejściowych, strumieni formatujących dane wejściowe i pulpitów nawigacyjnych (dashboardów).</w:t>
            </w:r>
          </w:p>
        </w:tc>
      </w:tr>
      <w:tr w:rsidR="008174AE" w:rsidRPr="008174AE" w14:paraId="461C2793" w14:textId="77777777" w:rsidTr="008174AE">
        <w:trPr>
          <w:trHeight w:val="75"/>
        </w:trPr>
        <w:tc>
          <w:tcPr>
            <w:tcW w:w="831" w:type="dxa"/>
            <w:shd w:val="clear" w:color="auto" w:fill="E7E6E6" w:themeFill="background2"/>
            <w:vAlign w:val="center"/>
          </w:tcPr>
          <w:p w14:paraId="63ED8919" w14:textId="3DCBA5BA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604CB26A" w14:textId="629C20CC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 zakresie wdrożenie proponowanego rozwiązania wykonawca wykona następujące czynności opisujące zarówno konfigurację rozwiązania jak i szkolenie z codziennego wykorzystania systemu centralnego składowania dzienników zdarzeń:</w:t>
            </w:r>
          </w:p>
        </w:tc>
      </w:tr>
      <w:tr w:rsidR="008174AE" w:rsidRPr="008174AE" w14:paraId="12B8CC16" w14:textId="77777777" w:rsidTr="008174AE">
        <w:tc>
          <w:tcPr>
            <w:tcW w:w="831" w:type="dxa"/>
            <w:shd w:val="clear" w:color="auto" w:fill="auto"/>
            <w:vAlign w:val="center"/>
          </w:tcPr>
          <w:p w14:paraId="71D473BF" w14:textId="59F61974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B973503" w14:textId="30E431AF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Instalacja systemu operacyjnego na wybranych przez Zamawiającego maszynie wirtualnej.</w:t>
            </w:r>
          </w:p>
        </w:tc>
      </w:tr>
      <w:tr w:rsidR="008174AE" w:rsidRPr="008174AE" w14:paraId="668BC7E1" w14:textId="77777777" w:rsidTr="008174AE">
        <w:tc>
          <w:tcPr>
            <w:tcW w:w="831" w:type="dxa"/>
            <w:shd w:val="clear" w:color="auto" w:fill="auto"/>
            <w:vAlign w:val="center"/>
          </w:tcPr>
          <w:p w14:paraId="2D43B896" w14:textId="6429BA7A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0D0F7BD" w14:textId="7D55EC34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Weryfikacja źródła czasu na wszystkich urządzeniach/systemach wysyłających logi do Centralnego systemu centralnego składowania dzienników zdarzeń. Jeśli urządzenia nie mają wspólnego zegara czasu Wykonawca zaproponuje rozwiązanie pozwalające na uspójnienie zegarów czasów sieci Zamawiającego.</w:t>
            </w:r>
          </w:p>
        </w:tc>
      </w:tr>
      <w:tr w:rsidR="008174AE" w:rsidRPr="008174AE" w14:paraId="4447B5FA" w14:textId="77777777" w:rsidTr="008174AE">
        <w:tc>
          <w:tcPr>
            <w:tcW w:w="831" w:type="dxa"/>
            <w:shd w:val="clear" w:color="auto" w:fill="auto"/>
            <w:vAlign w:val="center"/>
          </w:tcPr>
          <w:p w14:paraId="039BEAE3" w14:textId="331A0A0B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5924147" w14:textId="64537D33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Instalacja proponowanego rozwiązania wraz ze wstępną konfiguracja parametrów podstawowej pracy, w tym polityki dostępu dla pracowników zespołu IT Zamawiającego.</w:t>
            </w:r>
          </w:p>
        </w:tc>
      </w:tr>
      <w:tr w:rsidR="008174AE" w:rsidRPr="008174AE" w14:paraId="11E82447" w14:textId="77777777" w:rsidTr="008174AE">
        <w:tc>
          <w:tcPr>
            <w:tcW w:w="831" w:type="dxa"/>
            <w:shd w:val="clear" w:color="auto" w:fill="auto"/>
            <w:vAlign w:val="center"/>
          </w:tcPr>
          <w:p w14:paraId="709A2E91" w14:textId="340A6015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75AC46B" w14:textId="71F70689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Konfiguracja retencji przechowywania danych, z uwzględnieniem zapisów aktyw prawnych i dobrych praktyk występujących w środowisku Zamawiającego.</w:t>
            </w:r>
          </w:p>
        </w:tc>
      </w:tr>
      <w:tr w:rsidR="008174AE" w:rsidRPr="008174AE" w14:paraId="50E44CB0" w14:textId="77777777" w:rsidTr="008174AE">
        <w:tc>
          <w:tcPr>
            <w:tcW w:w="831" w:type="dxa"/>
            <w:shd w:val="clear" w:color="auto" w:fill="auto"/>
            <w:vAlign w:val="center"/>
          </w:tcPr>
          <w:p w14:paraId="2B05152A" w14:textId="439B0B28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9AB5DF9" w14:textId="2361A822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Konfiguracja na urządzeniach i systemach w sieci Zamawiającego usługi wysyłania dzienników zdarzeń (logów) do wdrażanego systemu. Zamawiający wymaga, aby w zakresie minimalnym prace objęły: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(2x) UTM - Stormshiled, Fortigate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(8x) Przełączników zarządzalnych - DCN, TP-LINK, FORTIGATE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(2x) Serwery LINUX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(8x) Serwery WINDOWS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(90x) Stacji roboczych WINDOWS 10 i 11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(1x) Aplikacje centralnego zarządzania oprogramowania antywirusowego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Z możliwością </w:t>
            </w:r>
            <w:r w:rsidR="00885EE8"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rozszerzenia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o: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UTM - CISCO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SWITCH - CISCO, FORTIGATE, HPE ARUBA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Serwer </w:t>
            </w:r>
            <w:r w:rsidR="00885EE8"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wirtualizacje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VMware ESX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Serwer Zarządzania wirtualizacją VMware vCenter</w:t>
            </w:r>
          </w:p>
        </w:tc>
      </w:tr>
      <w:tr w:rsidR="008174AE" w:rsidRPr="008174AE" w14:paraId="2CA89AC6" w14:textId="77777777" w:rsidTr="008174AE">
        <w:tc>
          <w:tcPr>
            <w:tcW w:w="831" w:type="dxa"/>
            <w:shd w:val="clear" w:color="auto" w:fill="auto"/>
            <w:vAlign w:val="center"/>
          </w:tcPr>
          <w:p w14:paraId="762A967E" w14:textId="40B9FF4C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43C1239" w14:textId="410EAE58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Zdefiniowanie portów nasłuchu logów w oparciu o segmentację nasłuchu pozwalającej odseparować dane napływające z różnych typów urządzeń i systemów w sieci Zamawiającego.</w:t>
            </w:r>
          </w:p>
        </w:tc>
      </w:tr>
      <w:tr w:rsidR="008174AE" w:rsidRPr="008174AE" w14:paraId="2D4FF32B" w14:textId="77777777" w:rsidTr="008174AE">
        <w:tc>
          <w:tcPr>
            <w:tcW w:w="831" w:type="dxa"/>
            <w:shd w:val="clear" w:color="auto" w:fill="auto"/>
            <w:vAlign w:val="center"/>
          </w:tcPr>
          <w:p w14:paraId="4F447AA4" w14:textId="2CD22267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9E92CAE" w14:textId="6B434487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Wykonanie wstępnej analizy napływających logów w celu zdefiniowania odpowiednich ekstraktorów wydzielających wybrane segmenty danych z napływających strumieni logów.</w:t>
            </w:r>
          </w:p>
        </w:tc>
      </w:tr>
      <w:tr w:rsidR="008174AE" w:rsidRPr="008174AE" w14:paraId="20D2B722" w14:textId="77777777" w:rsidTr="008174AE">
        <w:tc>
          <w:tcPr>
            <w:tcW w:w="831" w:type="dxa"/>
            <w:shd w:val="clear" w:color="auto" w:fill="auto"/>
            <w:vAlign w:val="center"/>
          </w:tcPr>
          <w:p w14:paraId="5848CB91" w14:textId="017A9827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3A0BF5D" w14:textId="0EA8D1BA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Automatyzacja analizy napływających logów poprzez zbudowanie Dashboardów generujących i prezentujących dane w postaci tabelarycznej i lub graficznej.</w:t>
            </w:r>
          </w:p>
        </w:tc>
      </w:tr>
      <w:tr w:rsidR="008174AE" w:rsidRPr="008174AE" w14:paraId="2AA91D73" w14:textId="77777777" w:rsidTr="008174AE">
        <w:tc>
          <w:tcPr>
            <w:tcW w:w="831" w:type="dxa"/>
            <w:shd w:val="clear" w:color="auto" w:fill="auto"/>
            <w:vAlign w:val="center"/>
          </w:tcPr>
          <w:p w14:paraId="1D021CE1" w14:textId="3922C2CB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6127082" w14:textId="7D828896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Konfiguracja mechanizmów alarmowania i powiadomień oparta o analizę napływających i przeanalizowanych logów.</w:t>
            </w:r>
          </w:p>
        </w:tc>
      </w:tr>
      <w:tr w:rsidR="008174AE" w:rsidRPr="008174AE" w14:paraId="1172B8B2" w14:textId="77777777" w:rsidTr="008174AE">
        <w:tc>
          <w:tcPr>
            <w:tcW w:w="831" w:type="dxa"/>
            <w:shd w:val="clear" w:color="auto" w:fill="auto"/>
            <w:vAlign w:val="center"/>
          </w:tcPr>
          <w:p w14:paraId="176FF2EF" w14:textId="0FDAB7EF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2.10.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20AFF49" w14:textId="13BECF4B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Konfiguracja wysyłania powiadomień poprzez maila lub Microsoft Teams w przypadku stwierdzenia przez system niepokojącej sytuacji zgodnie z wcześniej ustawionymi alarmami.</w:t>
            </w:r>
          </w:p>
        </w:tc>
      </w:tr>
      <w:tr w:rsidR="008174AE" w:rsidRPr="008174AE" w14:paraId="05BFAC9A" w14:textId="77777777" w:rsidTr="008174AE">
        <w:tc>
          <w:tcPr>
            <w:tcW w:w="831" w:type="dxa"/>
            <w:shd w:val="clear" w:color="auto" w:fill="E7E6E6" w:themeFill="background2"/>
            <w:vAlign w:val="center"/>
          </w:tcPr>
          <w:p w14:paraId="491BDA70" w14:textId="006834CA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7FC69503" w14:textId="1A2319D5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Gwarancja i asysta techniczne:</w:t>
            </w:r>
          </w:p>
        </w:tc>
      </w:tr>
      <w:tr w:rsidR="008174AE" w:rsidRPr="008174AE" w14:paraId="7E4726A5" w14:textId="77777777" w:rsidTr="008174AE">
        <w:tc>
          <w:tcPr>
            <w:tcW w:w="831" w:type="dxa"/>
            <w:vMerge w:val="restart"/>
            <w:shd w:val="clear" w:color="auto" w:fill="auto"/>
            <w:vAlign w:val="center"/>
          </w:tcPr>
          <w:p w14:paraId="79703D50" w14:textId="636BBAD0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3DE2E66" w14:textId="5C5D98B7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Zamawiający wymaga aby Wykonawca w czasie 24 miesięcy od wdrożenia rozwiązania zapewnił wsparcie techniczne polegające na zdalnej pomocy w przypadku wystąpienia problemów z działaniem systemu.</w:t>
            </w:r>
          </w:p>
        </w:tc>
      </w:tr>
      <w:tr w:rsidR="008174AE" w:rsidRPr="008174AE" w14:paraId="7CF22FB9" w14:textId="77777777" w:rsidTr="008174AE">
        <w:tc>
          <w:tcPr>
            <w:tcW w:w="831" w:type="dxa"/>
            <w:vMerge/>
            <w:shd w:val="clear" w:color="auto" w:fill="auto"/>
            <w:vAlign w:val="center"/>
          </w:tcPr>
          <w:p w14:paraId="6129D8BA" w14:textId="77777777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8230" w:type="dxa"/>
            <w:shd w:val="clear" w:color="auto" w:fill="auto"/>
            <w:vAlign w:val="center"/>
          </w:tcPr>
          <w:p w14:paraId="17F1C954" w14:textId="39FC266B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Zamawiający wymaga aby Wykonawca w </w:t>
            </w:r>
            <w:r w:rsidRPr="00AD01E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okresie </w:t>
            </w:r>
            <w:r w:rsidR="001119E0" w:rsidRPr="00AD01E1">
              <w:rPr>
                <w:rFonts w:ascii="Calibri" w:hAnsi="Calibri" w:cs="Calibri"/>
                <w:color w:val="000000"/>
                <w:sz w:val="24"/>
                <w:szCs w:val="24"/>
              </w:rPr>
              <w:t>do 30.06.2026 r.</w:t>
            </w:r>
            <w:r w:rsidRPr="00AD01E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świadczył asystę w zakresie aktualizacji zarówno systemu, jak i jego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komponentów.</w:t>
            </w:r>
          </w:p>
        </w:tc>
      </w:tr>
      <w:tr w:rsidR="008174AE" w:rsidRPr="008174AE" w14:paraId="75088410" w14:textId="77777777" w:rsidTr="008174AE">
        <w:trPr>
          <w:trHeight w:val="245"/>
        </w:trPr>
        <w:tc>
          <w:tcPr>
            <w:tcW w:w="831" w:type="dxa"/>
            <w:shd w:val="clear" w:color="auto" w:fill="auto"/>
            <w:vAlign w:val="center"/>
          </w:tcPr>
          <w:p w14:paraId="5AF277D7" w14:textId="5B0AE7E9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3.2.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1CF6A9C" w14:textId="219AAA72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Zamawiający wymaga aby w/w usługi były świadczone od poniedziałku do piątku między godzinami 8.00 a </w:t>
            </w:r>
            <w:r w:rsidR="00301714">
              <w:rPr>
                <w:rFonts w:ascii="Calibri" w:hAnsi="Calibri" w:cs="Calibri"/>
                <w:color w:val="000000"/>
                <w:sz w:val="24"/>
                <w:szCs w:val="24"/>
              </w:rPr>
              <w:t>15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 w:rsidR="00301714">
              <w:rPr>
                <w:rFonts w:ascii="Calibri" w:hAnsi="Calibri" w:cs="Calibri"/>
                <w:color w:val="000000"/>
                <w:sz w:val="24"/>
                <w:szCs w:val="24"/>
              </w:rPr>
              <w:t>30</w:t>
            </w: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8174AE" w:rsidRPr="008174AE" w14:paraId="73C78E56" w14:textId="77777777" w:rsidTr="008174AE">
        <w:tc>
          <w:tcPr>
            <w:tcW w:w="831" w:type="dxa"/>
            <w:shd w:val="clear" w:color="auto" w:fill="auto"/>
            <w:vAlign w:val="center"/>
          </w:tcPr>
          <w:p w14:paraId="614A6F50" w14:textId="412EDBCA" w:rsidR="008174AE" w:rsidRPr="008174AE" w:rsidRDefault="008174AE" w:rsidP="008174AE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3.3.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BBC621A" w14:textId="5B14DB06" w:rsidR="008174AE" w:rsidRPr="008174AE" w:rsidRDefault="008174AE" w:rsidP="008174AE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174AE">
              <w:rPr>
                <w:rFonts w:ascii="Calibri" w:hAnsi="Calibri" w:cs="Calibri"/>
                <w:color w:val="000000"/>
                <w:sz w:val="24"/>
                <w:szCs w:val="24"/>
              </w:rPr>
              <w:t>Zamawiający akceptuje fakt, ze każda interwencja wymagać będzie od niego zgłoszenia potrzeby pomocy drogą elektroniczną, a wskazany kanał komunikacji będzie wyznaczony przez Wykonawcę, i może to być system zgłoszeń elektronicznych lub komunikacja mailowa.</w:t>
            </w:r>
          </w:p>
        </w:tc>
      </w:tr>
    </w:tbl>
    <w:p w14:paraId="2BF09C0B" w14:textId="77777777" w:rsidR="001A350C" w:rsidRDefault="001A350C" w:rsidP="008174AE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325578B" w14:textId="77777777" w:rsidR="008174AE" w:rsidRDefault="008174AE" w:rsidP="008174AE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8174AE" w:rsidSect="006A1224">
      <w:headerReference w:type="default" r:id="rId8"/>
      <w:footerReference w:type="default" r:id="rId9"/>
      <w:pgSz w:w="11906" w:h="16838" w:code="9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2091" w14:textId="77777777" w:rsidR="00141795" w:rsidRDefault="00141795" w:rsidP="00141795">
      <w:pPr>
        <w:spacing w:after="0" w:line="240" w:lineRule="auto"/>
      </w:pPr>
      <w:r>
        <w:separator/>
      </w:r>
    </w:p>
  </w:endnote>
  <w:endnote w:type="continuationSeparator" w:id="0">
    <w:p w14:paraId="581A5546" w14:textId="77777777" w:rsidR="00141795" w:rsidRDefault="00141795" w:rsidP="001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296912"/>
      <w:docPartObj>
        <w:docPartGallery w:val="Page Numbers (Bottom of Page)"/>
        <w:docPartUnique/>
      </w:docPartObj>
    </w:sdtPr>
    <w:sdtEndPr/>
    <w:sdtContent>
      <w:p w14:paraId="1F6C5DEB" w14:textId="57A49FEE" w:rsidR="00F97346" w:rsidRDefault="00F973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A09457" w14:textId="77777777" w:rsidR="00F97346" w:rsidRDefault="00F97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4329E" w14:textId="77777777" w:rsidR="00141795" w:rsidRDefault="00141795" w:rsidP="00141795">
      <w:pPr>
        <w:spacing w:after="0" w:line="240" w:lineRule="auto"/>
      </w:pPr>
      <w:r>
        <w:separator/>
      </w:r>
    </w:p>
  </w:footnote>
  <w:footnote w:type="continuationSeparator" w:id="0">
    <w:p w14:paraId="6515BE4A" w14:textId="77777777" w:rsidR="00141795" w:rsidRDefault="00141795" w:rsidP="001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70EF" w14:textId="4F63029D" w:rsidR="00141795" w:rsidRDefault="00141795">
    <w:pPr>
      <w:pStyle w:val="Nagwek"/>
    </w:pPr>
    <w:r>
      <w:rPr>
        <w:noProof/>
        <w14:ligatures w14:val="standardContextual"/>
      </w:rPr>
      <w:drawing>
        <wp:inline distT="0" distB="0" distL="0" distR="0" wp14:anchorId="2468213F" wp14:editId="19004E76">
          <wp:extent cx="6476400" cy="669600"/>
          <wp:effectExtent l="0" t="0" r="635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40A"/>
    <w:multiLevelType w:val="hybridMultilevel"/>
    <w:tmpl w:val="FBA4693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60D54"/>
    <w:multiLevelType w:val="hybridMultilevel"/>
    <w:tmpl w:val="DFA45798"/>
    <w:lvl w:ilvl="0" w:tplc="0415000F">
      <w:start w:val="1"/>
      <w:numFmt w:val="decimal"/>
      <w:lvlText w:val="%1."/>
      <w:lvlJc w:val="left"/>
      <w:pPr>
        <w:ind w:left="498" w:hanging="360"/>
      </w:pPr>
    </w:lvl>
    <w:lvl w:ilvl="1" w:tplc="04150019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E5DC5"/>
    <w:multiLevelType w:val="hybridMultilevel"/>
    <w:tmpl w:val="0AA24C0E"/>
    <w:lvl w:ilvl="0" w:tplc="F3C2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25773"/>
    <w:multiLevelType w:val="hybridMultilevel"/>
    <w:tmpl w:val="D78CC704"/>
    <w:lvl w:ilvl="0" w:tplc="773CBD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734D47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13526"/>
    <w:multiLevelType w:val="hybridMultilevel"/>
    <w:tmpl w:val="44F8738C"/>
    <w:lvl w:ilvl="0" w:tplc="505C50D0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A0118"/>
    <w:multiLevelType w:val="hybridMultilevel"/>
    <w:tmpl w:val="B3FAF93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F7D41"/>
    <w:multiLevelType w:val="hybridMultilevel"/>
    <w:tmpl w:val="FBA46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00CF1"/>
    <w:multiLevelType w:val="hybridMultilevel"/>
    <w:tmpl w:val="B3FAF93C"/>
    <w:lvl w:ilvl="0" w:tplc="1E2AB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0C"/>
    <w:rsid w:val="00007728"/>
    <w:rsid w:val="00010775"/>
    <w:rsid w:val="000353FB"/>
    <w:rsid w:val="00036BD6"/>
    <w:rsid w:val="00075125"/>
    <w:rsid w:val="00084404"/>
    <w:rsid w:val="000A02FC"/>
    <w:rsid w:val="000B448C"/>
    <w:rsid w:val="000C4EA1"/>
    <w:rsid w:val="000D30A7"/>
    <w:rsid w:val="000E0408"/>
    <w:rsid w:val="001119E0"/>
    <w:rsid w:val="00141795"/>
    <w:rsid w:val="00166D9A"/>
    <w:rsid w:val="001A350C"/>
    <w:rsid w:val="001B1896"/>
    <w:rsid w:val="001E6592"/>
    <w:rsid w:val="00223688"/>
    <w:rsid w:val="002338FA"/>
    <w:rsid w:val="00301714"/>
    <w:rsid w:val="00345CEA"/>
    <w:rsid w:val="003A5D79"/>
    <w:rsid w:val="003C5C7C"/>
    <w:rsid w:val="003F63B2"/>
    <w:rsid w:val="00416D8F"/>
    <w:rsid w:val="004254B4"/>
    <w:rsid w:val="00445E75"/>
    <w:rsid w:val="0048107F"/>
    <w:rsid w:val="004A13FB"/>
    <w:rsid w:val="004B5682"/>
    <w:rsid w:val="004E2487"/>
    <w:rsid w:val="00586AFC"/>
    <w:rsid w:val="00593AB5"/>
    <w:rsid w:val="005D2EDD"/>
    <w:rsid w:val="00690379"/>
    <w:rsid w:val="006A1224"/>
    <w:rsid w:val="007A6609"/>
    <w:rsid w:val="008161B4"/>
    <w:rsid w:val="008174AE"/>
    <w:rsid w:val="0087455B"/>
    <w:rsid w:val="00885EE8"/>
    <w:rsid w:val="008A1F79"/>
    <w:rsid w:val="008C74DF"/>
    <w:rsid w:val="008D4BF1"/>
    <w:rsid w:val="009421F0"/>
    <w:rsid w:val="00974ACD"/>
    <w:rsid w:val="009A6FB4"/>
    <w:rsid w:val="009B122A"/>
    <w:rsid w:val="00A25134"/>
    <w:rsid w:val="00A41093"/>
    <w:rsid w:val="00AD01E1"/>
    <w:rsid w:val="00AF5915"/>
    <w:rsid w:val="00B439A5"/>
    <w:rsid w:val="00B87117"/>
    <w:rsid w:val="00BA4289"/>
    <w:rsid w:val="00BC458B"/>
    <w:rsid w:val="00C24B96"/>
    <w:rsid w:val="00CC6B26"/>
    <w:rsid w:val="00CD26BC"/>
    <w:rsid w:val="00CF024F"/>
    <w:rsid w:val="00D10CFA"/>
    <w:rsid w:val="00D42967"/>
    <w:rsid w:val="00D81C90"/>
    <w:rsid w:val="00DB17F9"/>
    <w:rsid w:val="00DD3C84"/>
    <w:rsid w:val="00E0006F"/>
    <w:rsid w:val="00E2078A"/>
    <w:rsid w:val="00E63666"/>
    <w:rsid w:val="00E67C59"/>
    <w:rsid w:val="00E754EA"/>
    <w:rsid w:val="00F379AF"/>
    <w:rsid w:val="00F97346"/>
    <w:rsid w:val="00FB1014"/>
    <w:rsid w:val="00FB5A44"/>
    <w:rsid w:val="00FD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E1B742"/>
  <w15:chartTrackingRefBased/>
  <w15:docId w15:val="{020CDC04-5EF0-4A92-9C83-CF257D85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50C"/>
    <w:rPr>
      <w:rFonts w:eastAsiaTheme="minorEastAsi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3666"/>
    <w:pPr>
      <w:keepNext/>
      <w:keepLines/>
      <w:numPr>
        <w:numId w:val="9"/>
      </w:numPr>
      <w:spacing w:before="240" w:after="0" w:line="360" w:lineRule="auto"/>
      <w:ind w:left="714" w:hanging="357"/>
      <w:outlineLvl w:val="0"/>
    </w:pPr>
    <w:rPr>
      <w:rFonts w:ascii="Calibri" w:eastAsiaTheme="majorEastAsia" w:hAnsi="Calibri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50C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rsid w:val="001A350C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1A350C"/>
  </w:style>
  <w:style w:type="table" w:styleId="Tabela-Siatka">
    <w:name w:val="Table Grid"/>
    <w:basedOn w:val="Standardowy"/>
    <w:uiPriority w:val="39"/>
    <w:rsid w:val="001A3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C74D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795"/>
    <w:rPr>
      <w:rFonts w:eastAsiaTheme="minorEastAsia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795"/>
    <w:rPr>
      <w:rFonts w:eastAsiaTheme="minorEastAsia"/>
      <w:kern w:val="0"/>
      <w:lang w:eastAsia="zh-C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E63666"/>
    <w:rPr>
      <w:rFonts w:ascii="Calibri" w:eastAsiaTheme="majorEastAsia" w:hAnsi="Calibri" w:cstheme="majorBidi"/>
      <w:b/>
      <w:kern w:val="0"/>
      <w:sz w:val="24"/>
      <w:szCs w:val="32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E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EE8"/>
    <w:rPr>
      <w:rFonts w:eastAsiaTheme="minorEastAsia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EE8"/>
    <w:rPr>
      <w:rFonts w:eastAsiaTheme="minorEastAsia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7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D38A3-C82B-4079-8A78-CECE669E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Ślusarz</dc:creator>
  <cp:keywords/>
  <dc:description/>
  <cp:lastModifiedBy>Rafał Kornosz</cp:lastModifiedBy>
  <cp:revision>4</cp:revision>
  <dcterms:created xsi:type="dcterms:W3CDTF">2025-02-12T09:42:00Z</dcterms:created>
  <dcterms:modified xsi:type="dcterms:W3CDTF">2025-03-17T09:16:00Z</dcterms:modified>
</cp:coreProperties>
</file>