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145"/>
        </w:trPr>
        <w:tc>
          <w:tcPr>
            <w:tcW w:w="53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91"/>
        </w:trPr>
        <w:tc>
          <w:tcPr>
            <w:tcW w:w="53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:rsidR="00C61600" w:rsidRPr="0018171C" w:rsidRDefault="00B83713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3713">
              <w:rPr>
                <w:rFonts w:ascii="Tahoma" w:hAnsi="Tahoma" w:cs="Tahoma"/>
                <w:b/>
                <w:sz w:val="16"/>
                <w:szCs w:val="16"/>
              </w:rPr>
              <w:t>IV Liceum Ogólnokształcącego im. K.K. Baczyńskiego w Olkuszu zlokalizowanego przy ul. J. Korczaka 7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C61600" w:rsidRPr="0018171C" w:rsidRDefault="00B83713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13">
              <w:rPr>
                <w:rFonts w:ascii="Tahoma" w:hAnsi="Tahoma" w:cs="Tahoma"/>
                <w:sz w:val="16"/>
                <w:szCs w:val="16"/>
              </w:rPr>
              <w:t xml:space="preserve">450 000 </w:t>
            </w:r>
            <w:r w:rsidR="0018171C" w:rsidRPr="0018171C">
              <w:rPr>
                <w:rFonts w:ascii="Tahoma" w:hAnsi="Tahoma" w:cs="Tahoma"/>
                <w:sz w:val="16"/>
                <w:szCs w:val="16"/>
              </w:rPr>
              <w:t xml:space="preserve">[kWh]. </w:t>
            </w:r>
          </w:p>
        </w:tc>
        <w:tc>
          <w:tcPr>
            <w:tcW w:w="383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jc w:val="both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sz w:val="22"/>
          <w:szCs w:val="16"/>
        </w:rPr>
        <w:t>Ceny jednostkowe podane przez Wykonawcę</w:t>
      </w:r>
      <w:r w:rsidRPr="0018171C">
        <w:rPr>
          <w:rFonts w:ascii="Tahoma" w:hAnsi="Tahoma" w:cs="Tahoma"/>
          <w:b/>
          <w:bCs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</w:rPr>
        <w:t>za sprzedaż gazu, opłaty abonamentowe i za usługę dystrybucji (opłaty stałe i zmienne) nie mogą być wyższe niż ceny obowiązujące na dzień składania oferty (zgodne z obowiązującą taryfą Wykonawcy zatwierdzoną przez Prezesa Urzędu Regulacji Energetyki).</w:t>
      </w:r>
    </w:p>
    <w:p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:rsidR="00C61600" w:rsidRDefault="00C61600" w:rsidP="00C61600">
      <w:pPr>
        <w:rPr>
          <w:rFonts w:ascii="Tahoma" w:hAnsi="Tahoma" w:cs="Tahoma"/>
          <w:sz w:val="16"/>
          <w:szCs w:val="16"/>
        </w:rPr>
      </w:pPr>
    </w:p>
    <w:p w:rsidR="00F504C1" w:rsidRPr="00F504C1" w:rsidRDefault="00F504C1" w:rsidP="00C61600">
      <w:pPr>
        <w:rPr>
          <w:rFonts w:ascii="Tahoma" w:hAnsi="Tahoma" w:cs="Tahoma"/>
          <w:sz w:val="14"/>
          <w:szCs w:val="16"/>
        </w:rPr>
      </w:pPr>
      <w:r w:rsidRPr="00F504C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</w:t>
      </w:r>
      <w:r>
        <w:rPr>
          <w:rFonts w:ascii="Tahoma" w:hAnsi="Tahoma" w:cs="Tahoma"/>
          <w:bCs/>
          <w:iCs/>
          <w:sz w:val="22"/>
        </w:rPr>
        <w:t>.</w:t>
      </w:r>
      <w:bookmarkStart w:id="0" w:name="_GoBack"/>
      <w:bookmarkEnd w:id="0"/>
    </w:p>
    <w:p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95" w:rsidRDefault="00D32B95" w:rsidP="0018171C">
      <w:r>
        <w:separator/>
      </w:r>
    </w:p>
  </w:endnote>
  <w:endnote w:type="continuationSeparator" w:id="0">
    <w:p w:rsidR="00D32B95" w:rsidRDefault="00D32B95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95" w:rsidRDefault="00D32B95" w:rsidP="0018171C">
      <w:r>
        <w:separator/>
      </w:r>
    </w:p>
  </w:footnote>
  <w:footnote w:type="continuationSeparator" w:id="0">
    <w:p w:rsidR="00D32B95" w:rsidRDefault="00D32B95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18171C"/>
    <w:rsid w:val="001B022C"/>
    <w:rsid w:val="002D4CF1"/>
    <w:rsid w:val="00334241"/>
    <w:rsid w:val="0054757B"/>
    <w:rsid w:val="00A13AF4"/>
    <w:rsid w:val="00B83713"/>
    <w:rsid w:val="00C61600"/>
    <w:rsid w:val="00CB5F7A"/>
    <w:rsid w:val="00D32B95"/>
    <w:rsid w:val="00F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3</cp:revision>
  <dcterms:created xsi:type="dcterms:W3CDTF">2021-11-02T07:40:00Z</dcterms:created>
  <dcterms:modified xsi:type="dcterms:W3CDTF">2021-11-02T09:15:00Z</dcterms:modified>
</cp:coreProperties>
</file>