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D9" w:rsidRPr="007007FD" w:rsidRDefault="00165A9E" w:rsidP="00D40EA4">
      <w:pPr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 xml:space="preserve">Na podstawie art. 13 </w:t>
      </w:r>
      <w:r w:rsidR="004D7585">
        <w:rPr>
          <w:rFonts w:ascii="Arial" w:hAnsi="Arial" w:cs="Arial"/>
          <w:sz w:val="20"/>
          <w:szCs w:val="20"/>
        </w:rPr>
        <w:t xml:space="preserve">ust.1 i 2 oraz art. 14 ust.1 i 2 </w:t>
      </w:r>
      <w:r w:rsidRPr="007007FD">
        <w:rPr>
          <w:rFonts w:ascii="Arial" w:hAnsi="Arial" w:cs="Arial"/>
          <w:sz w:val="20"/>
          <w:szCs w:val="20"/>
        </w:rPr>
        <w:t xml:space="preserve">Rozporządzenia Parlamentu Europejskiego i Rady (UE) 2016/679 </w:t>
      </w:r>
      <w:r w:rsidR="008F5FAE">
        <w:rPr>
          <w:rFonts w:ascii="Arial" w:hAnsi="Arial" w:cs="Arial"/>
          <w:sz w:val="20"/>
          <w:szCs w:val="20"/>
        </w:rPr>
        <w:br/>
      </w:r>
      <w:r w:rsidRPr="007007FD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</w:t>
      </w:r>
      <w:r w:rsidR="008F5FAE">
        <w:rPr>
          <w:rFonts w:ascii="Arial" w:hAnsi="Arial" w:cs="Arial"/>
          <w:sz w:val="20"/>
          <w:szCs w:val="20"/>
        </w:rPr>
        <w:br/>
      </w:r>
      <w:r w:rsidRPr="007007FD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="00D40EA4">
        <w:rPr>
          <w:rFonts w:ascii="Arial" w:hAnsi="Arial" w:cs="Arial"/>
          <w:sz w:val="20"/>
          <w:szCs w:val="20"/>
        </w:rPr>
        <w:br/>
      </w:r>
      <w:r w:rsidRPr="007007FD">
        <w:rPr>
          <w:rFonts w:ascii="Arial" w:hAnsi="Arial" w:cs="Arial"/>
          <w:sz w:val="20"/>
          <w:szCs w:val="20"/>
        </w:rPr>
        <w:t>o ochronie danych), zwanego dalej RODO:</w:t>
      </w:r>
    </w:p>
    <w:p w:rsidR="005E16D9" w:rsidRPr="007007FD" w:rsidRDefault="005E16D9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>ADMINISTRATOR DANYCH OSOBOWYCH</w:t>
      </w:r>
    </w:p>
    <w:p w:rsidR="005E16D9" w:rsidRPr="007007FD" w:rsidRDefault="005E16D9" w:rsidP="00D40EA4">
      <w:pPr>
        <w:spacing w:before="60"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 xml:space="preserve">Samodzielny Publiczny Zakład Opieki ZdrowotnejMinisterstwa Spraw Wewnętrznych i Administracji w Poznaniu im. prof. Ludwika Bierkowskiegoul. Dojazd 34, 60-631 Poznań, tel. (+48) 61 846 47 80, </w:t>
      </w:r>
      <w:hyperlink r:id="rId7" w:history="1">
        <w:r w:rsidRPr="007007FD">
          <w:rPr>
            <w:rStyle w:val="Hipercze"/>
            <w:rFonts w:ascii="Arial" w:hAnsi="Arial" w:cs="Arial"/>
            <w:sz w:val="20"/>
            <w:szCs w:val="20"/>
          </w:rPr>
          <w:t>sekretariat@szpitalmswia.poznan.pl</w:t>
        </w:r>
      </w:hyperlink>
    </w:p>
    <w:p w:rsidR="005E16D9" w:rsidRPr="007007FD" w:rsidRDefault="005E16D9" w:rsidP="00D40EA4">
      <w:pPr>
        <w:spacing w:before="180" w:after="60"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>DANE KONTAKTOWE INSPEKTORA OCHRONY DANYCH</w:t>
      </w:r>
    </w:p>
    <w:p w:rsidR="005E16D9" w:rsidRPr="007007FD" w:rsidRDefault="005E16D9" w:rsidP="00D40EA4">
      <w:pPr>
        <w:spacing w:before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 xml:space="preserve">tel. (+48) 61 846 46 </w:t>
      </w:r>
      <w:r w:rsidR="00D40EA4">
        <w:rPr>
          <w:rFonts w:ascii="Arial" w:hAnsi="Arial" w:cs="Arial"/>
          <w:sz w:val="20"/>
          <w:szCs w:val="20"/>
        </w:rPr>
        <w:t>6</w:t>
      </w:r>
      <w:r w:rsidRPr="007007FD">
        <w:rPr>
          <w:rFonts w:ascii="Arial" w:hAnsi="Arial" w:cs="Arial"/>
          <w:sz w:val="20"/>
          <w:szCs w:val="20"/>
        </w:rPr>
        <w:t xml:space="preserve">0, </w:t>
      </w:r>
      <w:hyperlink r:id="rId8" w:history="1">
        <w:r w:rsidR="002837E6" w:rsidRPr="00E50815">
          <w:rPr>
            <w:rStyle w:val="Hipercze"/>
            <w:rFonts w:ascii="Arial" w:hAnsi="Arial" w:cs="Arial"/>
            <w:sz w:val="20"/>
            <w:szCs w:val="20"/>
          </w:rPr>
          <w:t>iod@szpitalmswia.poznan.pl</w:t>
        </w:r>
      </w:hyperlink>
    </w:p>
    <w:p w:rsidR="005E16D9" w:rsidRPr="007007FD" w:rsidRDefault="005E16D9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>CEL ORAZ PODSTAWA PRAWNA PRZETWARZANIA DANYCH OSOBOWYCH</w:t>
      </w:r>
    </w:p>
    <w:p w:rsidR="0069600D" w:rsidRDefault="005E16D9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 xml:space="preserve">Dane </w:t>
      </w:r>
      <w:r w:rsidR="00695DD7" w:rsidRPr="007007FD">
        <w:rPr>
          <w:rFonts w:ascii="Arial" w:hAnsi="Arial" w:cs="Arial"/>
          <w:sz w:val="20"/>
          <w:szCs w:val="20"/>
        </w:rPr>
        <w:t xml:space="preserve">osobowe przetwarzane będą </w:t>
      </w:r>
      <w:r w:rsidR="0069600D">
        <w:rPr>
          <w:rFonts w:ascii="Arial" w:hAnsi="Arial" w:cs="Arial"/>
          <w:sz w:val="20"/>
          <w:szCs w:val="20"/>
        </w:rPr>
        <w:t>na podstawie:</w:t>
      </w:r>
    </w:p>
    <w:p w:rsidR="000C41F3" w:rsidRPr="00094684" w:rsidRDefault="0069600D" w:rsidP="00D40EA4">
      <w:pPr>
        <w:pStyle w:val="Akapitzlist"/>
        <w:numPr>
          <w:ilvl w:val="0"/>
          <w:numId w:val="11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4684">
        <w:rPr>
          <w:rFonts w:ascii="Arial" w:hAnsi="Arial" w:cs="Arial"/>
          <w:sz w:val="20"/>
          <w:szCs w:val="20"/>
        </w:rPr>
        <w:t xml:space="preserve">art. 6 ust. 1 lit.cRODOw oparciu o ustawę z dnia 11 września 2019 r. Prawo zamówień publicznych (t.j. </w:t>
      </w:r>
      <w:r w:rsidR="00020AD5" w:rsidRPr="00094684">
        <w:rPr>
          <w:rFonts w:ascii="Arial" w:hAnsi="Arial" w:cs="Arial"/>
          <w:sz w:val="20"/>
          <w:szCs w:val="20"/>
        </w:rPr>
        <w:t xml:space="preserve">Dz.U. 2023 poz. 1605 </w:t>
      </w:r>
      <w:r w:rsidRPr="00094684">
        <w:rPr>
          <w:rFonts w:ascii="Arial" w:hAnsi="Arial" w:cs="Arial"/>
          <w:sz w:val="20"/>
          <w:szCs w:val="20"/>
        </w:rPr>
        <w:t>z p</w:t>
      </w:r>
      <w:r w:rsidR="00422602" w:rsidRPr="00094684">
        <w:rPr>
          <w:rFonts w:ascii="Arial" w:hAnsi="Arial" w:cs="Arial"/>
          <w:sz w:val="20"/>
          <w:szCs w:val="20"/>
        </w:rPr>
        <w:t>óźn.zm.) zwanej dalej „ustawą Pzp</w:t>
      </w:r>
      <w:r w:rsidRPr="00094684">
        <w:rPr>
          <w:rFonts w:ascii="Arial" w:hAnsi="Arial" w:cs="Arial"/>
          <w:sz w:val="20"/>
          <w:szCs w:val="20"/>
        </w:rPr>
        <w:t xml:space="preserve">” </w:t>
      </w:r>
      <w:r w:rsidR="007007FD" w:rsidRPr="00094684">
        <w:rPr>
          <w:rFonts w:ascii="Arial" w:hAnsi="Arial" w:cs="Arial"/>
          <w:sz w:val="20"/>
          <w:szCs w:val="20"/>
        </w:rPr>
        <w:t>w celu</w:t>
      </w:r>
      <w:r w:rsidR="00695DD7" w:rsidRPr="00094684">
        <w:rPr>
          <w:rFonts w:ascii="Arial" w:hAnsi="Arial" w:cs="Arial"/>
          <w:sz w:val="20"/>
          <w:szCs w:val="20"/>
        </w:rPr>
        <w:t>związanym z postępowaniem o ud</w:t>
      </w:r>
      <w:r w:rsidR="00D46439" w:rsidRPr="00094684">
        <w:rPr>
          <w:rFonts w:ascii="Arial" w:hAnsi="Arial" w:cs="Arial"/>
          <w:sz w:val="20"/>
          <w:szCs w:val="20"/>
        </w:rPr>
        <w:t xml:space="preserve">zielenie zamówienia publicznego </w:t>
      </w:r>
      <w:r w:rsidR="00DF25AB" w:rsidRPr="00094684">
        <w:rPr>
          <w:rFonts w:ascii="Arial" w:hAnsi="Arial" w:cs="Arial"/>
          <w:b/>
          <w:sz w:val="20"/>
          <w:szCs w:val="20"/>
        </w:rPr>
        <w:t>ZP/p/</w:t>
      </w:r>
      <w:r w:rsidR="00DE188A">
        <w:rPr>
          <w:rFonts w:ascii="Arial" w:hAnsi="Arial" w:cs="Arial"/>
          <w:b/>
          <w:sz w:val="20"/>
          <w:szCs w:val="20"/>
        </w:rPr>
        <w:t>30</w:t>
      </w:r>
      <w:r w:rsidR="00DF25AB" w:rsidRPr="00094684">
        <w:rPr>
          <w:rFonts w:ascii="Arial" w:hAnsi="Arial" w:cs="Arial"/>
          <w:b/>
          <w:sz w:val="20"/>
          <w:szCs w:val="20"/>
        </w:rPr>
        <w:t>/202</w:t>
      </w:r>
      <w:r w:rsidR="00563F76" w:rsidRPr="00094684">
        <w:rPr>
          <w:rFonts w:ascii="Arial" w:hAnsi="Arial" w:cs="Arial"/>
          <w:b/>
          <w:sz w:val="20"/>
          <w:szCs w:val="20"/>
        </w:rPr>
        <w:t>4</w:t>
      </w:r>
      <w:r w:rsidR="00E63543">
        <w:rPr>
          <w:rFonts w:ascii="Arial" w:hAnsi="Arial" w:cs="Arial"/>
          <w:b/>
          <w:bCs/>
          <w:sz w:val="20"/>
          <w:szCs w:val="20"/>
        </w:rPr>
        <w:t xml:space="preserve">pn.: </w:t>
      </w:r>
      <w:r w:rsidR="00DF25AB" w:rsidRPr="00094684">
        <w:rPr>
          <w:rFonts w:ascii="Arial" w:hAnsi="Arial" w:cs="Arial"/>
          <w:b/>
          <w:bCs/>
          <w:sz w:val="20"/>
          <w:szCs w:val="20"/>
        </w:rPr>
        <w:t>„</w:t>
      </w:r>
      <w:r w:rsidR="00DE188A" w:rsidRPr="008B0AE9">
        <w:rPr>
          <w:rFonts w:ascii="Arial" w:hAnsi="Arial" w:cs="Arial"/>
          <w:b/>
          <w:sz w:val="20"/>
          <w:szCs w:val="20"/>
        </w:rPr>
        <w:t>Zakup pompy kasetowej do podaży leku Blincyto</w:t>
      </w:r>
      <w:r w:rsidR="00DF25AB" w:rsidRPr="00094684">
        <w:rPr>
          <w:rFonts w:ascii="Arial" w:hAnsi="Arial" w:cs="Arial"/>
          <w:b/>
          <w:bCs/>
          <w:sz w:val="20"/>
          <w:szCs w:val="20"/>
        </w:rPr>
        <w:t>”</w:t>
      </w:r>
    </w:p>
    <w:p w:rsidR="000C41F3" w:rsidRPr="00682896" w:rsidRDefault="000C41F3" w:rsidP="00D40EA4">
      <w:pPr>
        <w:pStyle w:val="Akapitzlist"/>
        <w:spacing w:after="60" w:line="25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DF25AB">
        <w:rPr>
          <w:rFonts w:ascii="Arial" w:hAnsi="Arial" w:cs="Arial"/>
          <w:sz w:val="20"/>
          <w:szCs w:val="20"/>
        </w:rPr>
        <w:t>W przypadku gdy w ogłoszeniu o zamówieniu lub dokumentach zamówienia na usługi lub roboty budowlane są określone wymagania związane z realizacją zamówienia w zakresie zatrudnienia przez Wykonawcę lub Podwykonawcę</w:t>
      </w:r>
      <w:r w:rsidRPr="000C41F3">
        <w:rPr>
          <w:rFonts w:ascii="Arial" w:hAnsi="Arial" w:cs="Arial"/>
          <w:sz w:val="20"/>
          <w:szCs w:val="20"/>
        </w:rPr>
        <w:t xml:space="preserve"> na podstawie stosunku pracy osób wykonujących wskazane przez </w:t>
      </w:r>
      <w:r w:rsidR="00F95078">
        <w:rPr>
          <w:rFonts w:ascii="Arial" w:hAnsi="Arial" w:cs="Arial"/>
          <w:sz w:val="20"/>
          <w:szCs w:val="20"/>
        </w:rPr>
        <w:t>Z</w:t>
      </w:r>
      <w:r w:rsidRPr="000C41F3">
        <w:rPr>
          <w:rFonts w:ascii="Arial" w:hAnsi="Arial" w:cs="Arial"/>
          <w:sz w:val="20"/>
          <w:szCs w:val="20"/>
        </w:rPr>
        <w:t xml:space="preserve">amawiającego czynności </w:t>
      </w:r>
      <w:r w:rsidR="00F95078">
        <w:rPr>
          <w:rFonts w:ascii="Arial" w:hAnsi="Arial" w:cs="Arial"/>
          <w:sz w:val="20"/>
          <w:szCs w:val="20"/>
        </w:rPr>
        <w:br/>
      </w:r>
      <w:r w:rsidRPr="000C41F3">
        <w:rPr>
          <w:rFonts w:ascii="Arial" w:hAnsi="Arial" w:cs="Arial"/>
          <w:sz w:val="20"/>
          <w:szCs w:val="20"/>
        </w:rPr>
        <w:t xml:space="preserve">w zakresie realizacji zamówienia, jeżeli wykonanie tych czynności polega na wykonywaniu pracy w sposób określony w art. 22 § 1 ustawy z dnia 26 czerwca 1974 r. – Kodeks pracy (Dz. U. z 2022 r. poz. 1510, 1700 i 2140 oraz z 2023 r. poz. 240 i 641) Zamawiający może przetwarzać dane osobowe niezbędne do weryfikacji zatrudnienia na podstawie umowy o pracę, w szczególności imię i nazwisko zatrudnionego pracownika, datę zawarcia umowy </w:t>
      </w:r>
      <w:r w:rsidR="00F95078">
        <w:rPr>
          <w:rFonts w:ascii="Arial" w:hAnsi="Arial" w:cs="Arial"/>
          <w:sz w:val="20"/>
          <w:szCs w:val="20"/>
        </w:rPr>
        <w:br/>
      </w:r>
      <w:r w:rsidRPr="000C41F3">
        <w:rPr>
          <w:rFonts w:ascii="Arial" w:hAnsi="Arial" w:cs="Arial"/>
          <w:sz w:val="20"/>
          <w:szCs w:val="20"/>
        </w:rPr>
        <w:t>o pracę, rodzaj umowy o pracę i zakres obowiązków pracownika</w:t>
      </w:r>
      <w:r w:rsidR="00682896">
        <w:rPr>
          <w:rFonts w:ascii="Arial" w:hAnsi="Arial" w:cs="Arial"/>
          <w:sz w:val="20"/>
          <w:szCs w:val="20"/>
        </w:rPr>
        <w:t>,</w:t>
      </w:r>
    </w:p>
    <w:p w:rsidR="00062D36" w:rsidRPr="00105D92" w:rsidRDefault="006364BA" w:rsidP="00D40EA4">
      <w:pPr>
        <w:pStyle w:val="Akapitzlist"/>
        <w:numPr>
          <w:ilvl w:val="0"/>
          <w:numId w:val="11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6 ust. 1 lit.f</w:t>
      </w:r>
      <w:r w:rsidR="0069600D" w:rsidRPr="007007FD">
        <w:rPr>
          <w:rFonts w:ascii="Arial" w:hAnsi="Arial" w:cs="Arial"/>
          <w:sz w:val="20"/>
          <w:szCs w:val="20"/>
        </w:rPr>
        <w:t>ustalenia, dochodzenia lub obrony przed ewentualnymi roszczeniami, do czasu ich przedawnienia</w:t>
      </w:r>
      <w:r w:rsidR="0069600D">
        <w:rPr>
          <w:rFonts w:ascii="Arial" w:hAnsi="Arial" w:cs="Arial"/>
          <w:sz w:val="20"/>
          <w:szCs w:val="20"/>
        </w:rPr>
        <w:t>.</w:t>
      </w:r>
    </w:p>
    <w:p w:rsidR="007007FD" w:rsidRPr="007007FD" w:rsidRDefault="007007FD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 xml:space="preserve">ODBIORCY DANYCH OSOBOWCH </w:t>
      </w:r>
    </w:p>
    <w:p w:rsidR="00422602" w:rsidRPr="007007FD" w:rsidRDefault="00AF0ACB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1D4242">
        <w:rPr>
          <w:rFonts w:ascii="Arial" w:hAnsi="Arial" w:cs="Arial"/>
          <w:sz w:val="20"/>
          <w:szCs w:val="20"/>
        </w:rPr>
        <w:t>O</w:t>
      </w:r>
      <w:r w:rsidR="00695DD7" w:rsidRPr="001D4242">
        <w:rPr>
          <w:rFonts w:ascii="Arial" w:hAnsi="Arial" w:cs="Arial"/>
          <w:sz w:val="20"/>
          <w:szCs w:val="20"/>
        </w:rPr>
        <w:t xml:space="preserve">dbiorcami danych osobowych </w:t>
      </w:r>
      <w:r w:rsidR="005124FD" w:rsidRPr="001D4242">
        <w:rPr>
          <w:rFonts w:ascii="Arial" w:hAnsi="Arial" w:cs="Arial"/>
          <w:sz w:val="20"/>
          <w:szCs w:val="20"/>
        </w:rPr>
        <w:t>będą osoby lub podmioty, którym udostępniona zostanie dokumentacja postępowania w oparciu o art. 18 oraz art. 74</w:t>
      </w:r>
      <w:r w:rsidR="00422602" w:rsidRPr="001D4242">
        <w:rPr>
          <w:rFonts w:ascii="Arial" w:hAnsi="Arial" w:cs="Arial"/>
          <w:sz w:val="20"/>
          <w:szCs w:val="20"/>
        </w:rPr>
        <w:t>ustawy Pzp</w:t>
      </w:r>
      <w:r w:rsidR="005124FD" w:rsidRPr="001D4242">
        <w:rPr>
          <w:rFonts w:ascii="Arial" w:hAnsi="Arial" w:cs="Arial"/>
          <w:sz w:val="20"/>
          <w:szCs w:val="20"/>
        </w:rPr>
        <w:t xml:space="preserve">, przy czym zasada jawności, o której mowa w art. 74 ust. 3 </w:t>
      </w:r>
      <w:r w:rsidR="003A1E2F">
        <w:rPr>
          <w:rFonts w:ascii="Arial" w:hAnsi="Arial" w:cs="Arial"/>
          <w:sz w:val="20"/>
          <w:szCs w:val="20"/>
        </w:rPr>
        <w:t xml:space="preserve">ustawy </w:t>
      </w:r>
      <w:r w:rsidR="00020AD5">
        <w:rPr>
          <w:rFonts w:ascii="Arial" w:hAnsi="Arial" w:cs="Arial"/>
          <w:sz w:val="20"/>
          <w:szCs w:val="20"/>
        </w:rPr>
        <w:t>Pzp</w:t>
      </w:r>
      <w:r w:rsidR="005124FD" w:rsidRPr="001D4242">
        <w:rPr>
          <w:rFonts w:ascii="Arial" w:hAnsi="Arial" w:cs="Arial"/>
          <w:sz w:val="20"/>
          <w:szCs w:val="20"/>
        </w:rPr>
        <w:t xml:space="preserve">ma zastosowanie do wszystkich danych osobowych, z wyjątkiem danych, o których mowa w art. 9 ust. 1 </w:t>
      </w:r>
      <w:r w:rsidR="00422602" w:rsidRPr="001D4242">
        <w:rPr>
          <w:rFonts w:ascii="Arial" w:hAnsi="Arial" w:cs="Arial"/>
          <w:sz w:val="20"/>
          <w:szCs w:val="20"/>
        </w:rPr>
        <w:t>RODO</w:t>
      </w:r>
      <w:r w:rsidR="005124FD" w:rsidRPr="001D4242">
        <w:rPr>
          <w:rFonts w:ascii="Arial" w:hAnsi="Arial" w:cs="Arial"/>
          <w:sz w:val="20"/>
          <w:szCs w:val="20"/>
        </w:rPr>
        <w:t>, zebranych w toku postępowania o udzielenie zamówienia publicznego. Ograniczenia zasady jawności, o których mowa w art. 18 ust. 3–6, stosuje się odpowiednio.</w:t>
      </w:r>
      <w:r w:rsidR="00422602" w:rsidRPr="001D4242">
        <w:rPr>
          <w:rFonts w:ascii="Arial" w:hAnsi="Arial" w:cs="Arial"/>
          <w:sz w:val="20"/>
          <w:szCs w:val="20"/>
        </w:rPr>
        <w:t xml:space="preserve"> Ponadto odbiorcami danych osobowych będą podmioty przetwarzające dane w imieniu Zamawiającego oraz podmioty w zakresie w jakim Administrator będzie do tego zobowiązany przepisami prawa, w tym Krajowa Izba Odwoławcza</w:t>
      </w:r>
      <w:r w:rsidR="001D4242" w:rsidRPr="001D4242">
        <w:rPr>
          <w:rFonts w:ascii="Arial" w:hAnsi="Arial" w:cs="Arial"/>
          <w:sz w:val="20"/>
          <w:szCs w:val="20"/>
        </w:rPr>
        <w:t xml:space="preserve"> oraz</w:t>
      </w:r>
      <w:r w:rsidR="00422602" w:rsidRPr="001D4242">
        <w:rPr>
          <w:rFonts w:ascii="Arial" w:hAnsi="Arial" w:cs="Arial"/>
          <w:sz w:val="20"/>
          <w:szCs w:val="20"/>
        </w:rPr>
        <w:t xml:space="preserve"> organy kontrolujące. </w:t>
      </w:r>
    </w:p>
    <w:p w:rsidR="007007FD" w:rsidRPr="00E33C2F" w:rsidRDefault="007007FD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>INFORMACJE O ZAMIARZE PRZEKAZANIA DANYCH OSOBOWYCH DO PAŃSTWA TRZECIEGO LUB ORGANIZACJI MIĘDZYNARODOWEJ</w:t>
      </w:r>
    </w:p>
    <w:p w:rsidR="005124FD" w:rsidRPr="005124FD" w:rsidRDefault="001D4242" w:rsidP="00D40EA4">
      <w:pPr>
        <w:tabs>
          <w:tab w:val="left" w:pos="426"/>
        </w:tabs>
        <w:spacing w:line="250" w:lineRule="exact"/>
        <w:contextualSpacing/>
        <w:jc w:val="both"/>
        <w:rPr>
          <w:rFonts w:ascii="Arial" w:hAnsi="Arial" w:cs="Arial"/>
          <w:i/>
          <w:iCs/>
          <w:color w:val="0000FF"/>
          <w:sz w:val="20"/>
          <w:szCs w:val="20"/>
          <w:u w:val="single"/>
        </w:rPr>
      </w:pPr>
      <w:r w:rsidRPr="001D4242">
        <w:rPr>
          <w:rFonts w:ascii="Arial" w:hAnsi="Arial" w:cs="Arial"/>
          <w:sz w:val="20"/>
          <w:szCs w:val="20"/>
        </w:rPr>
        <w:t>D</w:t>
      </w:r>
      <w:r w:rsidR="005124FD" w:rsidRPr="001D4242">
        <w:rPr>
          <w:rFonts w:ascii="Arial" w:hAnsi="Arial" w:cs="Arial"/>
          <w:sz w:val="20"/>
          <w:szCs w:val="20"/>
        </w:rPr>
        <w:t>ane osobowe nie będą przekazywane do państwa trzeciego oraz organizacji międzynarodowej;</w:t>
      </w:r>
    </w:p>
    <w:p w:rsidR="007007FD" w:rsidRPr="00E33C2F" w:rsidRDefault="00520A1C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>OKRES, PRZEZ KTÓRY DANE OSOBOWE BĘDĄ PRZECHOWYWANE</w:t>
      </w:r>
    </w:p>
    <w:p w:rsidR="00640C06" w:rsidRPr="00682896" w:rsidRDefault="00E85709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3A1E2F">
        <w:rPr>
          <w:rFonts w:ascii="Arial" w:hAnsi="Arial" w:cs="Arial"/>
          <w:sz w:val="20"/>
          <w:szCs w:val="20"/>
        </w:rPr>
        <w:t>D</w:t>
      </w:r>
      <w:r w:rsidR="005124FD" w:rsidRPr="003A1E2F">
        <w:rPr>
          <w:rFonts w:ascii="Arial" w:hAnsi="Arial" w:cs="Arial"/>
          <w:sz w:val="20"/>
          <w:szCs w:val="20"/>
        </w:rPr>
        <w:t>ane osobowe będą przechowywane, zgodnie z art. 78 u</w:t>
      </w:r>
      <w:r w:rsidRPr="003A1E2F">
        <w:rPr>
          <w:rFonts w:ascii="Arial" w:hAnsi="Arial" w:cs="Arial"/>
          <w:sz w:val="20"/>
          <w:szCs w:val="20"/>
        </w:rPr>
        <w:t xml:space="preserve">st. 1 ustawy Pzp, przez okres </w:t>
      </w:r>
      <w:r w:rsidR="005124FD" w:rsidRPr="003A1E2F">
        <w:rPr>
          <w:rFonts w:ascii="Arial" w:hAnsi="Arial" w:cs="Arial"/>
          <w:sz w:val="20"/>
          <w:szCs w:val="20"/>
        </w:rPr>
        <w:t xml:space="preserve">4 lat od dnia zakończenia postępowania o udzielenie zamówienia, a jeżeli czas trwania umowy przekracza 4 lata, okres przechowywania obejmuje cały czas trwania umowy. Okres przetwarzania może być przedłużony w granicach prawa w </w:t>
      </w:r>
      <w:r w:rsidR="00455800" w:rsidRPr="003A1E2F">
        <w:rPr>
          <w:rFonts w:ascii="Arial" w:hAnsi="Arial" w:cs="Arial"/>
          <w:sz w:val="20"/>
          <w:szCs w:val="20"/>
        </w:rPr>
        <w:t>przypadku,</w:t>
      </w:r>
      <w:r w:rsidR="005124FD" w:rsidRPr="003A1E2F">
        <w:rPr>
          <w:rFonts w:ascii="Arial" w:hAnsi="Arial" w:cs="Arial"/>
          <w:sz w:val="20"/>
          <w:szCs w:val="20"/>
        </w:rPr>
        <w:t xml:space="preserve"> gdy przetwarzanie danych osobowych niezbędne jest do dochodzenia lub obrony przed roszczeniami.</w:t>
      </w:r>
      <w:r w:rsidR="00682896" w:rsidRPr="00682896">
        <w:rPr>
          <w:rFonts w:ascii="Arial" w:hAnsi="Arial" w:cs="Arial"/>
          <w:sz w:val="20"/>
          <w:szCs w:val="20"/>
        </w:rPr>
        <w:t>Zamawiającyprzechowuje dane osobowe zebrane w postęp</w:t>
      </w:r>
      <w:r w:rsidR="00682896">
        <w:rPr>
          <w:rFonts w:ascii="Arial" w:hAnsi="Arial" w:cs="Arial"/>
          <w:sz w:val="20"/>
          <w:szCs w:val="20"/>
        </w:rPr>
        <w:t xml:space="preserve">owaniu o udzielenie zamówienia </w:t>
      </w:r>
      <w:r w:rsidR="00640C06" w:rsidRPr="00563ABC">
        <w:rPr>
          <w:rFonts w:ascii="Arial" w:hAnsi="Arial" w:cs="Arial"/>
          <w:sz w:val="20"/>
          <w:szCs w:val="20"/>
        </w:rPr>
        <w:t>w sposób gwarantujący zachowanie ich poufności, integralności, kompletności oraz dostępności, w warunkach niegrożących uszkodzeniem lub zniszczeniem</w:t>
      </w:r>
      <w:r w:rsidR="00640C06">
        <w:rPr>
          <w:rFonts w:ascii="Arial" w:hAnsi="Arial" w:cs="Arial"/>
          <w:sz w:val="20"/>
          <w:szCs w:val="20"/>
        </w:rPr>
        <w:t>.</w:t>
      </w:r>
    </w:p>
    <w:p w:rsidR="006364BA" w:rsidRPr="00CD61B6" w:rsidRDefault="006364BA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CD61B6">
        <w:rPr>
          <w:rFonts w:ascii="Arial" w:hAnsi="Arial" w:cs="Arial"/>
          <w:b/>
          <w:sz w:val="20"/>
          <w:szCs w:val="20"/>
        </w:rPr>
        <w:t>PRAWA OSÓB, KTÓRYCH DANE DOTYCZĄ:</w:t>
      </w:r>
    </w:p>
    <w:p w:rsidR="00F95078" w:rsidRPr="00F95078" w:rsidRDefault="00E8570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E85709">
        <w:rPr>
          <w:rFonts w:ascii="Arial" w:hAnsi="Arial" w:cs="Arial"/>
          <w:sz w:val="20"/>
          <w:szCs w:val="20"/>
        </w:rPr>
        <w:t xml:space="preserve">na podstawie art. 15 RODO </w:t>
      </w:r>
      <w:r w:rsidR="00B94DE1" w:rsidRPr="006364BA">
        <w:rPr>
          <w:rFonts w:ascii="Arial" w:hAnsi="Arial" w:cs="Arial"/>
          <w:sz w:val="20"/>
          <w:szCs w:val="20"/>
        </w:rPr>
        <w:t>prawo dostępu do danych osobowych</w:t>
      </w:r>
      <w:r w:rsidR="00C05DF7" w:rsidRPr="006364BA">
        <w:rPr>
          <w:rFonts w:ascii="Arial" w:hAnsi="Arial" w:cs="Arial"/>
          <w:sz w:val="20"/>
          <w:szCs w:val="20"/>
        </w:rPr>
        <w:t>, przy czym Zamawiający może żądać od osoby występującej z żądaniem wskazania dodatkowych informacji, mających na celu sprecyzowanie nazwy lub daty zakończonego postępowania o udzielenie zamówienia</w:t>
      </w:r>
      <w:r w:rsidR="00F95078">
        <w:rPr>
          <w:rFonts w:ascii="Arial" w:hAnsi="Arial" w:cs="Arial"/>
          <w:sz w:val="20"/>
          <w:szCs w:val="20"/>
        </w:rPr>
        <w:t>,</w:t>
      </w:r>
    </w:p>
    <w:p w:rsidR="003E4AE0" w:rsidRPr="003E4AE0" w:rsidRDefault="00E8570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E85709">
        <w:rPr>
          <w:rFonts w:ascii="Arial" w:hAnsi="Arial" w:cs="Arial"/>
          <w:sz w:val="20"/>
          <w:szCs w:val="20"/>
        </w:rPr>
        <w:t xml:space="preserve">na podstawie art. 16 RODO </w:t>
      </w:r>
      <w:r w:rsidR="00B94DE1" w:rsidRPr="00E85709">
        <w:rPr>
          <w:rFonts w:ascii="Arial" w:hAnsi="Arial" w:cs="Arial"/>
          <w:sz w:val="20"/>
          <w:szCs w:val="20"/>
        </w:rPr>
        <w:t xml:space="preserve">prawo do sprostowania lub uzupełnienia danych </w:t>
      </w:r>
      <w:r w:rsidR="00455800" w:rsidRPr="00E85709">
        <w:rPr>
          <w:rFonts w:ascii="Arial" w:hAnsi="Arial" w:cs="Arial"/>
          <w:sz w:val="20"/>
          <w:szCs w:val="20"/>
        </w:rPr>
        <w:t>osobowych,</w:t>
      </w:r>
      <w:r w:rsidR="00B94DE1" w:rsidRPr="00E85709">
        <w:rPr>
          <w:rFonts w:ascii="Arial" w:hAnsi="Arial" w:cs="Arial"/>
          <w:sz w:val="20"/>
          <w:szCs w:val="20"/>
        </w:rPr>
        <w:t xml:space="preserve"> przy czym skorzystanie z prawa do sprostowania lub uzupełnienia nie może skutkować zmianą wyniku postępowania o udzielenie </w:t>
      </w:r>
      <w:r w:rsidR="00B94DE1" w:rsidRPr="003E4AE0">
        <w:rPr>
          <w:rFonts w:ascii="Arial" w:hAnsi="Arial" w:cs="Arial"/>
          <w:sz w:val="20"/>
          <w:szCs w:val="20"/>
        </w:rPr>
        <w:lastRenderedPageBreak/>
        <w:t xml:space="preserve">zamówienia ani zmianą postanowień umowy </w:t>
      </w:r>
      <w:r w:rsidR="007F2ADC" w:rsidRPr="003E4AE0">
        <w:rPr>
          <w:rFonts w:ascii="Arial" w:hAnsi="Arial" w:cs="Arial"/>
          <w:sz w:val="20"/>
          <w:szCs w:val="20"/>
        </w:rPr>
        <w:t xml:space="preserve">w sprawie zamówienia publicznego </w:t>
      </w:r>
      <w:r w:rsidR="00B94DE1" w:rsidRPr="003E4AE0">
        <w:rPr>
          <w:rFonts w:ascii="Arial" w:hAnsi="Arial" w:cs="Arial"/>
          <w:sz w:val="20"/>
          <w:szCs w:val="20"/>
        </w:rPr>
        <w:t>w zakresie niezgodnym z ustawą PZP</w:t>
      </w:r>
      <w:r w:rsidR="009B66E9" w:rsidRPr="003E4AE0">
        <w:rPr>
          <w:rFonts w:ascii="Arial" w:hAnsi="Arial" w:cs="Arial"/>
          <w:sz w:val="20"/>
          <w:szCs w:val="20"/>
        </w:rPr>
        <w:t xml:space="preserve"> oraz nie może </w:t>
      </w:r>
      <w:r w:rsidR="001D4242" w:rsidRPr="003E4AE0">
        <w:rPr>
          <w:rFonts w:ascii="Arial" w:hAnsi="Arial" w:cs="Arial"/>
          <w:sz w:val="20"/>
          <w:szCs w:val="20"/>
        </w:rPr>
        <w:t xml:space="preserve">naruszać integralności </w:t>
      </w:r>
      <w:r w:rsidR="00320612" w:rsidRPr="003E4AE0">
        <w:rPr>
          <w:rFonts w:ascii="Arial" w:hAnsi="Arial" w:cs="Arial"/>
          <w:sz w:val="20"/>
          <w:szCs w:val="20"/>
        </w:rPr>
        <w:t>protokołu postępowania oraz jego załączników</w:t>
      </w:r>
      <w:r w:rsidR="00F95078">
        <w:rPr>
          <w:rFonts w:ascii="Arial" w:hAnsi="Arial" w:cs="Arial"/>
          <w:sz w:val="20"/>
          <w:szCs w:val="20"/>
        </w:rPr>
        <w:t>,</w:t>
      </w:r>
    </w:p>
    <w:p w:rsidR="00E85709" w:rsidRPr="003E4AE0" w:rsidRDefault="00E8570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RODO, przy czym wystąpienie z powyższym żądaniem, nie ogranicza przetwarzania danych osobowych do czasu zakończenia postępowania o udzielenie zamówienia publicznego lub konkursu</w:t>
      </w:r>
      <w:r w:rsidR="00F95078">
        <w:rPr>
          <w:rFonts w:ascii="Arial" w:hAnsi="Arial" w:cs="Arial"/>
          <w:sz w:val="20"/>
          <w:szCs w:val="20"/>
        </w:rPr>
        <w:t>,</w:t>
      </w:r>
    </w:p>
    <w:p w:rsidR="00025F52" w:rsidRPr="003E4AE0" w:rsidRDefault="009B66E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 xml:space="preserve">w </w:t>
      </w:r>
      <w:r w:rsidR="00FC3941" w:rsidRPr="003E4AE0">
        <w:rPr>
          <w:rFonts w:ascii="Arial" w:hAnsi="Arial" w:cs="Arial"/>
          <w:sz w:val="20"/>
          <w:szCs w:val="20"/>
        </w:rPr>
        <w:t>odniesieniu do przetwarzania opartego o</w:t>
      </w:r>
      <w:r w:rsidR="00913E0D" w:rsidRPr="003E4AE0">
        <w:rPr>
          <w:rFonts w:ascii="Arial" w:hAnsi="Arial" w:cs="Arial"/>
          <w:sz w:val="20"/>
          <w:szCs w:val="20"/>
        </w:rPr>
        <w:t xml:space="preserve"> art.</w:t>
      </w:r>
      <w:r w:rsidR="00FC3941" w:rsidRPr="003E4AE0">
        <w:rPr>
          <w:rFonts w:ascii="Arial" w:hAnsi="Arial" w:cs="Arial"/>
          <w:sz w:val="20"/>
          <w:szCs w:val="20"/>
        </w:rPr>
        <w:t xml:space="preserve"> 6</w:t>
      </w:r>
      <w:r w:rsidRPr="003E4AE0">
        <w:rPr>
          <w:rFonts w:ascii="Arial" w:hAnsi="Arial" w:cs="Arial"/>
          <w:sz w:val="20"/>
          <w:szCs w:val="20"/>
        </w:rPr>
        <w:t xml:space="preserve"> ust. 1 lit.</w:t>
      </w:r>
      <w:r w:rsidR="00FC3941" w:rsidRPr="003E4AE0">
        <w:rPr>
          <w:rFonts w:ascii="Arial" w:hAnsi="Arial" w:cs="Arial"/>
          <w:sz w:val="20"/>
          <w:szCs w:val="20"/>
        </w:rPr>
        <w:t>c nie</w:t>
      </w:r>
      <w:r w:rsidR="00B94DE1" w:rsidRPr="003E4AE0">
        <w:rPr>
          <w:rFonts w:ascii="Arial" w:hAnsi="Arial" w:cs="Arial"/>
          <w:sz w:val="20"/>
          <w:szCs w:val="20"/>
        </w:rPr>
        <w:t xml:space="preserve"> przysługuje:</w:t>
      </w:r>
    </w:p>
    <w:p w:rsidR="00B94DE1" w:rsidRPr="003E4AE0" w:rsidRDefault="009B66E9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w związku z art. 17 ust. 3 lit.</w:t>
      </w:r>
      <w:r w:rsidR="00B94DE1" w:rsidRPr="003E4AE0">
        <w:rPr>
          <w:rFonts w:ascii="Arial" w:hAnsi="Arial" w:cs="Arial"/>
          <w:sz w:val="20"/>
          <w:szCs w:val="20"/>
        </w:rPr>
        <w:t>b, d RODO prawo do usunięcia danych osobowych</w:t>
      </w:r>
      <w:r w:rsidR="003E4AE0">
        <w:rPr>
          <w:rFonts w:ascii="Arial" w:hAnsi="Arial" w:cs="Arial"/>
          <w:sz w:val="20"/>
          <w:szCs w:val="20"/>
        </w:rPr>
        <w:t>,</w:t>
      </w:r>
    </w:p>
    <w:p w:rsidR="00950444" w:rsidRPr="003E4AE0" w:rsidRDefault="00B94DE1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prawo do przenoszenia danych osobowych, o którym mowa w art. 20 RODO</w:t>
      </w:r>
      <w:r w:rsidR="003E4AE0">
        <w:rPr>
          <w:rFonts w:ascii="Arial" w:hAnsi="Arial" w:cs="Arial"/>
          <w:sz w:val="20"/>
          <w:szCs w:val="20"/>
        </w:rPr>
        <w:t>,</w:t>
      </w:r>
    </w:p>
    <w:p w:rsidR="009B66E9" w:rsidRPr="003E4AE0" w:rsidRDefault="00B94DE1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na podstawie art. 21 RODO prawo sprzeciwu, wobec przetwarzania danych osobowych</w:t>
      </w:r>
      <w:r w:rsidR="00950444" w:rsidRPr="003E4AE0">
        <w:rPr>
          <w:rFonts w:ascii="Arial" w:hAnsi="Arial" w:cs="Arial"/>
          <w:sz w:val="20"/>
          <w:szCs w:val="20"/>
        </w:rPr>
        <w:t>;</w:t>
      </w:r>
    </w:p>
    <w:p w:rsidR="00913E0D" w:rsidRPr="003E4AE0" w:rsidRDefault="009B66E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 xml:space="preserve">w </w:t>
      </w:r>
      <w:r w:rsidR="00913E0D" w:rsidRPr="003E4AE0">
        <w:rPr>
          <w:rFonts w:ascii="Arial" w:hAnsi="Arial" w:cs="Arial"/>
          <w:sz w:val="20"/>
          <w:szCs w:val="20"/>
        </w:rPr>
        <w:t>odniesieniu do przetwarzani</w:t>
      </w:r>
      <w:r w:rsidRPr="003E4AE0">
        <w:rPr>
          <w:rFonts w:ascii="Arial" w:hAnsi="Arial" w:cs="Arial"/>
          <w:sz w:val="20"/>
          <w:szCs w:val="20"/>
        </w:rPr>
        <w:t>a opartego o art. 6 ust. 1 lit.</w:t>
      </w:r>
      <w:r w:rsidR="00F64BA0" w:rsidRPr="003E4AE0">
        <w:rPr>
          <w:rFonts w:ascii="Arial" w:hAnsi="Arial" w:cs="Arial"/>
          <w:sz w:val="20"/>
          <w:szCs w:val="20"/>
        </w:rPr>
        <w:t>f</w:t>
      </w:r>
      <w:r w:rsidR="00913E0D" w:rsidRPr="003E4AE0">
        <w:rPr>
          <w:rFonts w:ascii="Arial" w:hAnsi="Arial" w:cs="Arial"/>
          <w:sz w:val="20"/>
          <w:szCs w:val="20"/>
        </w:rPr>
        <w:t xml:space="preserve"> nie przysługuje:</w:t>
      </w:r>
    </w:p>
    <w:p w:rsidR="00913E0D" w:rsidRPr="003E4AE0" w:rsidRDefault="00913E0D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w związku z art. 17 ust. 3 lit. e RODO prawo do usunięcia danych osobowych</w:t>
      </w:r>
      <w:r w:rsidR="003E4AE0">
        <w:rPr>
          <w:rFonts w:ascii="Arial" w:hAnsi="Arial" w:cs="Arial"/>
          <w:sz w:val="20"/>
          <w:szCs w:val="20"/>
        </w:rPr>
        <w:t>,</w:t>
      </w:r>
    </w:p>
    <w:p w:rsidR="003E2A8E" w:rsidRPr="003E4AE0" w:rsidRDefault="00913E0D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prawo do przenoszenia danych osobowych, o którym mowa w art. 20 RODO</w:t>
      </w:r>
      <w:r w:rsidR="00CD61B6" w:rsidRPr="003E4AE0">
        <w:rPr>
          <w:rFonts w:ascii="Arial" w:hAnsi="Arial" w:cs="Arial"/>
          <w:sz w:val="20"/>
          <w:szCs w:val="20"/>
        </w:rPr>
        <w:t>;</w:t>
      </w:r>
    </w:p>
    <w:p w:rsidR="00CD61B6" w:rsidRDefault="00CD61B6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7934D9">
        <w:rPr>
          <w:rFonts w:ascii="Arial" w:hAnsi="Arial" w:cs="Arial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6364BA" w:rsidRPr="00E33C2F" w:rsidRDefault="006364BA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 xml:space="preserve">PODANIE DANYCH OSOBOWYCH JEST WYMOGIEM USTAWOWYM I JEST NIEZBĘDNE W CELU </w:t>
      </w:r>
      <w:r w:rsidR="00CD61B6" w:rsidRPr="00E33C2F">
        <w:rPr>
          <w:rFonts w:ascii="Arial" w:hAnsi="Arial" w:cs="Arial"/>
          <w:b/>
          <w:sz w:val="20"/>
          <w:szCs w:val="20"/>
        </w:rPr>
        <w:t xml:space="preserve">UDZIAŁU </w:t>
      </w:r>
      <w:r w:rsidR="00ED2430">
        <w:rPr>
          <w:rFonts w:ascii="Arial" w:hAnsi="Arial" w:cs="Arial"/>
          <w:b/>
          <w:sz w:val="20"/>
          <w:szCs w:val="20"/>
        </w:rPr>
        <w:br/>
      </w:r>
      <w:r w:rsidR="00CD61B6" w:rsidRPr="00E33C2F">
        <w:rPr>
          <w:rFonts w:ascii="Arial" w:hAnsi="Arial" w:cs="Arial"/>
          <w:b/>
          <w:sz w:val="20"/>
          <w:szCs w:val="20"/>
        </w:rPr>
        <w:t>W POSTĘPOWANIU O ZAMÓWIENIE PUBLICZNE</w:t>
      </w:r>
    </w:p>
    <w:p w:rsidR="006364BA" w:rsidRDefault="006364BA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015A95">
        <w:rPr>
          <w:rFonts w:ascii="Arial" w:hAnsi="Arial" w:cs="Arial"/>
          <w:sz w:val="20"/>
          <w:szCs w:val="20"/>
        </w:rPr>
        <w:t xml:space="preserve">Obowiązek podania danych osobowych jest wymogiem </w:t>
      </w:r>
      <w:r w:rsidR="005124FD" w:rsidRPr="00015A95">
        <w:rPr>
          <w:rFonts w:ascii="Arial" w:hAnsi="Arial" w:cs="Arial"/>
          <w:sz w:val="20"/>
          <w:szCs w:val="20"/>
        </w:rPr>
        <w:t xml:space="preserve">ustawowym </w:t>
      </w:r>
      <w:r w:rsidRPr="00015A95">
        <w:rPr>
          <w:rFonts w:ascii="Arial" w:hAnsi="Arial" w:cs="Arial"/>
          <w:sz w:val="20"/>
          <w:szCs w:val="20"/>
        </w:rPr>
        <w:t>określonym w przepisach ustawy P</w:t>
      </w:r>
      <w:r w:rsidR="00CD61B6" w:rsidRPr="00015A95">
        <w:rPr>
          <w:rFonts w:ascii="Arial" w:hAnsi="Arial" w:cs="Arial"/>
          <w:sz w:val="20"/>
          <w:szCs w:val="20"/>
        </w:rPr>
        <w:t>zp</w:t>
      </w:r>
      <w:r w:rsidRPr="00015A95">
        <w:rPr>
          <w:rFonts w:ascii="Arial" w:hAnsi="Arial" w:cs="Arial"/>
          <w:sz w:val="20"/>
          <w:szCs w:val="20"/>
        </w:rPr>
        <w:t>, związanym z udziałem w postępowaniu o udzielenie zamówienia publicznego</w:t>
      </w:r>
      <w:r w:rsidR="009B66E9" w:rsidRPr="00015A95">
        <w:rPr>
          <w:rFonts w:ascii="Arial" w:hAnsi="Arial" w:cs="Arial"/>
          <w:sz w:val="20"/>
          <w:szCs w:val="20"/>
        </w:rPr>
        <w:t>. K</w:t>
      </w:r>
      <w:r w:rsidRPr="00015A95">
        <w:rPr>
          <w:rFonts w:ascii="Arial" w:hAnsi="Arial" w:cs="Arial"/>
          <w:sz w:val="20"/>
          <w:szCs w:val="20"/>
        </w:rPr>
        <w:t>onsekwencje niepodania określonych danych wynikają z ustawy P</w:t>
      </w:r>
      <w:r w:rsidR="00CD61B6" w:rsidRPr="00015A95">
        <w:rPr>
          <w:rFonts w:ascii="Arial" w:hAnsi="Arial" w:cs="Arial"/>
          <w:sz w:val="20"/>
          <w:szCs w:val="20"/>
        </w:rPr>
        <w:t>zp</w:t>
      </w:r>
      <w:r w:rsidR="009B66E9" w:rsidRPr="00015A95">
        <w:rPr>
          <w:rFonts w:ascii="Arial" w:hAnsi="Arial" w:cs="Arial"/>
          <w:sz w:val="20"/>
          <w:szCs w:val="20"/>
        </w:rPr>
        <w:t>.</w:t>
      </w:r>
    </w:p>
    <w:p w:rsidR="0090446C" w:rsidRPr="006364BA" w:rsidRDefault="0090446C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</w:t>
      </w:r>
      <w:r w:rsidRPr="00E230F4">
        <w:rPr>
          <w:rFonts w:ascii="Arial" w:hAnsi="Arial" w:cs="Arial"/>
          <w:sz w:val="20"/>
          <w:szCs w:val="20"/>
        </w:rPr>
        <w:t xml:space="preserve"> pracowników/współpracowników </w:t>
      </w:r>
      <w:r w:rsidR="00ED2430">
        <w:rPr>
          <w:rFonts w:ascii="Arial" w:hAnsi="Arial" w:cs="Arial"/>
          <w:sz w:val="20"/>
          <w:szCs w:val="20"/>
        </w:rPr>
        <w:t>Wykonawcy</w:t>
      </w:r>
      <w:r w:rsidRPr="00E230F4">
        <w:rPr>
          <w:rFonts w:ascii="Arial" w:hAnsi="Arial" w:cs="Arial"/>
          <w:sz w:val="20"/>
          <w:szCs w:val="20"/>
        </w:rPr>
        <w:t xml:space="preserve">Administrator pozyskał od </w:t>
      </w:r>
      <w:r w:rsidR="00ED2430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, w związku </w:t>
      </w:r>
      <w:r w:rsidR="00ED243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przeprowadzonym postępowaniem o udzielenie zamówienia publicznego.</w:t>
      </w:r>
    </w:p>
    <w:p w:rsidR="006364BA" w:rsidRPr="00E33C2F" w:rsidRDefault="006364BA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>INFORMACJE O ZAUTOMATYZOWANYM PODEJMOWANIU DECYZJI, W TYM O PROFILOWANIU</w:t>
      </w:r>
    </w:p>
    <w:p w:rsidR="00C92FE8" w:rsidRDefault="006364BA" w:rsidP="00D40EA4">
      <w:pPr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6364BA">
        <w:rPr>
          <w:rFonts w:ascii="Arial" w:hAnsi="Arial" w:cs="Arial"/>
          <w:sz w:val="20"/>
          <w:szCs w:val="20"/>
        </w:rPr>
        <w:t>Dane osobowe nie podlegają zautomatyzowanemu podejmowaniu decyzji, w tym profilowaniu.</w:t>
      </w:r>
    </w:p>
    <w:p w:rsidR="00ED2430" w:rsidRDefault="00ED2430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</w:p>
    <w:p w:rsidR="009577D5" w:rsidRPr="00BA41DF" w:rsidRDefault="009577D5" w:rsidP="00ED2430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BA41DF">
        <w:rPr>
          <w:rFonts w:ascii="Arial" w:hAnsi="Arial" w:cs="Arial"/>
          <w:sz w:val="20"/>
          <w:szCs w:val="20"/>
        </w:rPr>
        <w:t>W przypadku udostępnienia Zamawiającemu przez Wykonawcę danych osobowych osób fizycznych, od których dane osobowe bezpośrednio lub pośrednio pozyskał w celu ubiegania się o udzielenie zamówienia publicznego w niniejszym postępowaniu, Zamawiający zobowiązuje Wykonawcę do poinformowania osób, których dane zostały udostępnione Zamawiającemu o fakcie i zakresie przekazanych danych, o danych kontaktowych Zamawiającego oraz zasadach przetwarzania danych wskazanych w niniejszym paragrafie, chyba, że ma zastosowanie</w:t>
      </w:r>
      <w:r w:rsidR="00614447" w:rsidRPr="00BA41DF">
        <w:rPr>
          <w:rFonts w:ascii="Arial" w:hAnsi="Arial" w:cs="Arial"/>
          <w:sz w:val="20"/>
          <w:szCs w:val="20"/>
        </w:rPr>
        <w:t xml:space="preserve"> co najmniej jedno z włączeń, o </w:t>
      </w:r>
      <w:r w:rsidRPr="00BA41DF">
        <w:rPr>
          <w:rFonts w:ascii="Arial" w:hAnsi="Arial" w:cs="Arial"/>
          <w:sz w:val="20"/>
          <w:szCs w:val="20"/>
        </w:rPr>
        <w:t>których mowa w art. 14 ust. 5 RODO</w:t>
      </w:r>
      <w:r w:rsidR="00BA41DF">
        <w:rPr>
          <w:rFonts w:ascii="Arial" w:hAnsi="Arial" w:cs="Arial"/>
          <w:sz w:val="20"/>
          <w:szCs w:val="20"/>
        </w:rPr>
        <w:t>.</w:t>
      </w:r>
    </w:p>
    <w:sectPr w:rsidR="009577D5" w:rsidRPr="00BA41DF" w:rsidSect="00D40EA4">
      <w:headerReference w:type="default" r:id="rId9"/>
      <w:pgSz w:w="11906" w:h="16838" w:code="9"/>
      <w:pgMar w:top="567" w:right="567" w:bottom="454" w:left="680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D91" w:rsidRDefault="008F4D91" w:rsidP="001B5512">
      <w:r>
        <w:separator/>
      </w:r>
    </w:p>
  </w:endnote>
  <w:endnote w:type="continuationSeparator" w:id="1">
    <w:p w:rsidR="008F4D91" w:rsidRDefault="008F4D91" w:rsidP="001B5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D91" w:rsidRDefault="008F4D91" w:rsidP="001B5512">
      <w:r>
        <w:separator/>
      </w:r>
    </w:p>
  </w:footnote>
  <w:footnote w:type="continuationSeparator" w:id="1">
    <w:p w:rsidR="008F4D91" w:rsidRDefault="008F4D91" w:rsidP="001B5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135"/>
      <w:gridCol w:w="2411"/>
      <w:gridCol w:w="3543"/>
      <w:gridCol w:w="2551"/>
      <w:gridCol w:w="1133"/>
    </w:tblGrid>
    <w:tr w:rsidR="00BA41DF" w:rsidRPr="002342E4" w:rsidTr="009D1691">
      <w:trPr>
        <w:trHeight w:hRule="exact" w:val="1191"/>
        <w:jc w:val="center"/>
      </w:trPr>
      <w:tc>
        <w:tcPr>
          <w:tcW w:w="1135" w:type="dxa"/>
          <w:tcBorders>
            <w:right w:val="nil"/>
          </w:tcBorders>
        </w:tcPr>
        <w:p w:rsidR="00BA41DF" w:rsidRPr="002342E4" w:rsidRDefault="00BA41DF" w:rsidP="007007FD">
          <w:pPr>
            <w:pStyle w:val="Nagwek"/>
            <w:jc w:val="both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424815" cy="548640"/>
                <wp:effectExtent l="19050" t="0" r="0" b="0"/>
                <wp:wrapSquare wrapText="largest"/>
                <wp:docPr id="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5" w:type="dxa"/>
          <w:gridSpan w:val="3"/>
          <w:tcBorders>
            <w:left w:val="nil"/>
            <w:right w:val="nil"/>
          </w:tcBorders>
        </w:tcPr>
        <w:p w:rsidR="00BA41DF" w:rsidRPr="00EF300A" w:rsidRDefault="00BA41DF" w:rsidP="00EF300A">
          <w:pPr>
            <w:pStyle w:val="Standard"/>
            <w:spacing w:before="60" w:after="0" w:line="240" w:lineRule="auto"/>
            <w:ind w:left="-113" w:right="-113"/>
            <w:jc w:val="center"/>
            <w:rPr>
              <w:rFonts w:ascii="Arial" w:hAnsi="Arial" w:cs="Arial"/>
              <w:b/>
              <w:bCs/>
              <w:sz w:val="22"/>
              <w:lang w:eastAsia="zh-CN"/>
            </w:rPr>
          </w:pPr>
          <w:r w:rsidRPr="00C834DC">
            <w:rPr>
              <w:rFonts w:ascii="Arial" w:hAnsi="Arial" w:cs="Arial"/>
              <w:b/>
              <w:bCs/>
              <w:sz w:val="22"/>
              <w:lang w:eastAsia="zh-CN"/>
            </w:rPr>
            <w:t>F.</w:t>
          </w:r>
          <w:r>
            <w:rPr>
              <w:rFonts w:ascii="Arial" w:hAnsi="Arial" w:cs="Arial"/>
              <w:b/>
              <w:bCs/>
              <w:sz w:val="22"/>
              <w:lang w:eastAsia="zh-CN"/>
            </w:rPr>
            <w:t xml:space="preserve">IOD.10 INFORMACJA O PRZETWARZANIU DANYCH OSOBOWYCH </w:t>
          </w:r>
          <w:r w:rsidRPr="00EF300A">
            <w:rPr>
              <w:rFonts w:ascii="Arial" w:hAnsi="Arial" w:cs="Arial"/>
              <w:b/>
              <w:bCs/>
              <w:sz w:val="22"/>
              <w:lang w:eastAsia="zh-CN"/>
            </w:rPr>
            <w:t xml:space="preserve">UCZESTNIKÓW POSTĘPOWAŃ </w:t>
          </w:r>
          <w:r w:rsidRPr="00ED2430">
            <w:rPr>
              <w:rFonts w:ascii="Arial" w:hAnsi="Arial" w:cs="Arial"/>
              <w:b/>
              <w:bCs/>
              <w:sz w:val="22"/>
              <w:lang w:eastAsia="zh-CN"/>
            </w:rPr>
            <w:t>O UDZIELENIE</w:t>
          </w:r>
          <w:r w:rsidRPr="00EF300A">
            <w:rPr>
              <w:rFonts w:ascii="Arial" w:hAnsi="Arial" w:cs="Arial"/>
              <w:b/>
              <w:bCs/>
              <w:sz w:val="22"/>
              <w:lang w:eastAsia="zh-CN"/>
            </w:rPr>
            <w:t>ZAMÓWIENIA PUBLICZNE</w:t>
          </w:r>
          <w:r>
            <w:rPr>
              <w:rFonts w:ascii="Arial" w:hAnsi="Arial" w:cs="Arial"/>
              <w:b/>
              <w:bCs/>
              <w:sz w:val="22"/>
              <w:lang w:eastAsia="zh-CN"/>
            </w:rPr>
            <w:t>GO</w:t>
          </w:r>
        </w:p>
        <w:p w:rsidR="00BA41DF" w:rsidRPr="00AB1988" w:rsidRDefault="00BA41DF" w:rsidP="009D1691">
          <w:pPr>
            <w:widowControl w:val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SAMODZIELNY PUBLICZNY ZAKŁAD OPIEKI ZDROWOTNEJ</w:t>
          </w:r>
        </w:p>
        <w:p w:rsidR="00BA41DF" w:rsidRPr="00AB1988" w:rsidRDefault="00BA41DF" w:rsidP="007007FD">
          <w:pPr>
            <w:widowControl w:val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</w:rPr>
            <w:t>Ministerstwa Spraw Wewnętrznych i Administracji w Poznaniu im. prof. Ludwika Bierkowskiego</w:t>
          </w:r>
        </w:p>
        <w:p w:rsidR="00BA41DF" w:rsidRPr="002342E4" w:rsidRDefault="00BA41DF" w:rsidP="007007FD">
          <w:pPr>
            <w:widowControl w:val="0"/>
            <w:jc w:val="center"/>
            <w:rPr>
              <w:rFonts w:cs="Arial"/>
              <w:b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ul. Dojazd 34, 60-631 Poznań</w:t>
          </w:r>
        </w:p>
      </w:tc>
      <w:tc>
        <w:tcPr>
          <w:tcW w:w="1133" w:type="dxa"/>
          <w:tcBorders>
            <w:left w:val="nil"/>
          </w:tcBorders>
        </w:tcPr>
        <w:p w:rsidR="00BA41DF" w:rsidRPr="009C4F56" w:rsidRDefault="00BA41DF" w:rsidP="007007FD">
          <w:pPr>
            <w:tabs>
              <w:tab w:val="left" w:pos="206"/>
              <w:tab w:val="left" w:pos="396"/>
              <w:tab w:val="left" w:pos="617"/>
            </w:tabs>
          </w:pPr>
          <w:r>
            <w:rPr>
              <w:rFonts w:cs="Arial"/>
              <w:noProof/>
              <w:color w:val="000000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40640</wp:posOffset>
                </wp:positionV>
                <wp:extent cx="451485" cy="548640"/>
                <wp:effectExtent l="19050" t="0" r="5715" b="0"/>
                <wp:wrapSquare wrapText="left"/>
                <wp:docPr id="4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4" t="8037" r="-14" b="70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A41DF" w:rsidRPr="0002424B" w:rsidTr="007007FD">
      <w:trPr>
        <w:trHeight w:hRule="exact" w:val="284"/>
        <w:jc w:val="center"/>
      </w:trPr>
      <w:tc>
        <w:tcPr>
          <w:tcW w:w="3546" w:type="dxa"/>
          <w:gridSpan w:val="2"/>
        </w:tcPr>
        <w:p w:rsidR="00BA41DF" w:rsidRPr="00005835" w:rsidRDefault="00BA41DF" w:rsidP="007007FD">
          <w:pPr>
            <w:widowControl w:val="0"/>
            <w:spacing w:before="60"/>
            <w:ind w:left="-57" w:right="-57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Wydanie </w:t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t>2</w:t>
          </w:r>
        </w:p>
      </w:tc>
      <w:tc>
        <w:tcPr>
          <w:tcW w:w="3543" w:type="dxa"/>
        </w:tcPr>
        <w:p w:rsidR="00BA41DF" w:rsidRPr="00005835" w:rsidRDefault="00BA41DF" w:rsidP="00D40EA4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Obowiązuje od </w:t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t>12.12.2023</w:t>
          </w:r>
        </w:p>
      </w:tc>
      <w:tc>
        <w:tcPr>
          <w:tcW w:w="3684" w:type="dxa"/>
          <w:gridSpan w:val="2"/>
        </w:tcPr>
        <w:p w:rsidR="00BA41DF" w:rsidRPr="00005835" w:rsidRDefault="00BA41DF" w:rsidP="007007FD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Strona </w:t>
          </w:r>
          <w:r w:rsidR="00E2228B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PAGE </w:instrText>
          </w:r>
          <w:r w:rsidR="00E2228B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DE188A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2</w:t>
          </w:r>
          <w:r w:rsidR="00E2228B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>/</w:t>
          </w:r>
          <w:r w:rsidR="00E2228B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NUMPAGES </w:instrText>
          </w:r>
          <w:r w:rsidR="00E2228B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DE188A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2</w:t>
          </w:r>
          <w:r w:rsidR="00E2228B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</w:p>
      </w:tc>
    </w:tr>
  </w:tbl>
  <w:p w:rsidR="00BA41DF" w:rsidRDefault="00BA41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172B77"/>
    <w:multiLevelType w:val="hybridMultilevel"/>
    <w:tmpl w:val="4F80343C"/>
    <w:lvl w:ilvl="0" w:tplc="D4402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0755E"/>
    <w:multiLevelType w:val="hybridMultilevel"/>
    <w:tmpl w:val="A0A66D66"/>
    <w:lvl w:ilvl="0" w:tplc="767629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D7755"/>
    <w:multiLevelType w:val="hybridMultilevel"/>
    <w:tmpl w:val="2784363A"/>
    <w:lvl w:ilvl="0" w:tplc="A99AE9B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4EA31A1"/>
    <w:multiLevelType w:val="hybridMultilevel"/>
    <w:tmpl w:val="85FC73A8"/>
    <w:lvl w:ilvl="0" w:tplc="5F56E2A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C64FC"/>
    <w:multiLevelType w:val="hybridMultilevel"/>
    <w:tmpl w:val="4F80343C"/>
    <w:lvl w:ilvl="0" w:tplc="D4402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32FAE"/>
    <w:multiLevelType w:val="hybridMultilevel"/>
    <w:tmpl w:val="FE7EC5B2"/>
    <w:lvl w:ilvl="0" w:tplc="F1B65818">
      <w:start w:val="9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66450"/>
    <w:multiLevelType w:val="hybridMultilevel"/>
    <w:tmpl w:val="68E80136"/>
    <w:lvl w:ilvl="0" w:tplc="D918295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B29AC"/>
    <w:rsid w:val="000031BC"/>
    <w:rsid w:val="000066FB"/>
    <w:rsid w:val="00010232"/>
    <w:rsid w:val="00015A95"/>
    <w:rsid w:val="00020800"/>
    <w:rsid w:val="00020AD5"/>
    <w:rsid w:val="00021505"/>
    <w:rsid w:val="00025F52"/>
    <w:rsid w:val="00043886"/>
    <w:rsid w:val="00046F6E"/>
    <w:rsid w:val="00062D36"/>
    <w:rsid w:val="00077E24"/>
    <w:rsid w:val="00094684"/>
    <w:rsid w:val="000B53D8"/>
    <w:rsid w:val="000C41F3"/>
    <w:rsid w:val="000D580E"/>
    <w:rsid w:val="00105D92"/>
    <w:rsid w:val="00107BC7"/>
    <w:rsid w:val="00112048"/>
    <w:rsid w:val="00113FE5"/>
    <w:rsid w:val="001151CC"/>
    <w:rsid w:val="001327D4"/>
    <w:rsid w:val="00141225"/>
    <w:rsid w:val="00153831"/>
    <w:rsid w:val="00154CEF"/>
    <w:rsid w:val="00165A9E"/>
    <w:rsid w:val="001836B3"/>
    <w:rsid w:val="001A35EA"/>
    <w:rsid w:val="001A4857"/>
    <w:rsid w:val="001B5512"/>
    <w:rsid w:val="001D4242"/>
    <w:rsid w:val="001D5F3A"/>
    <w:rsid w:val="001F6910"/>
    <w:rsid w:val="00222E25"/>
    <w:rsid w:val="002428A2"/>
    <w:rsid w:val="00253BFC"/>
    <w:rsid w:val="00260529"/>
    <w:rsid w:val="00281008"/>
    <w:rsid w:val="002837E6"/>
    <w:rsid w:val="002908B2"/>
    <w:rsid w:val="00291E01"/>
    <w:rsid w:val="002F1054"/>
    <w:rsid w:val="003017F8"/>
    <w:rsid w:val="00320612"/>
    <w:rsid w:val="00337277"/>
    <w:rsid w:val="0034102A"/>
    <w:rsid w:val="00342F84"/>
    <w:rsid w:val="0034372E"/>
    <w:rsid w:val="00366526"/>
    <w:rsid w:val="003774A1"/>
    <w:rsid w:val="00383F4A"/>
    <w:rsid w:val="00391C27"/>
    <w:rsid w:val="003A1E2F"/>
    <w:rsid w:val="003E2A8E"/>
    <w:rsid w:val="003E4AE0"/>
    <w:rsid w:val="003F2670"/>
    <w:rsid w:val="00422602"/>
    <w:rsid w:val="00425AB7"/>
    <w:rsid w:val="0044095E"/>
    <w:rsid w:val="00453E01"/>
    <w:rsid w:val="00455800"/>
    <w:rsid w:val="00455E4F"/>
    <w:rsid w:val="00456530"/>
    <w:rsid w:val="0046284E"/>
    <w:rsid w:val="00475CEF"/>
    <w:rsid w:val="004A3CFB"/>
    <w:rsid w:val="004B290F"/>
    <w:rsid w:val="004B29AC"/>
    <w:rsid w:val="004B5E54"/>
    <w:rsid w:val="004C0CC8"/>
    <w:rsid w:val="004D7585"/>
    <w:rsid w:val="004E0617"/>
    <w:rsid w:val="0050094C"/>
    <w:rsid w:val="00506AF9"/>
    <w:rsid w:val="005124FD"/>
    <w:rsid w:val="00520A1C"/>
    <w:rsid w:val="00524A8F"/>
    <w:rsid w:val="00551FDD"/>
    <w:rsid w:val="00556006"/>
    <w:rsid w:val="00556D95"/>
    <w:rsid w:val="00561883"/>
    <w:rsid w:val="00563F76"/>
    <w:rsid w:val="00580807"/>
    <w:rsid w:val="005A293B"/>
    <w:rsid w:val="005A7D8C"/>
    <w:rsid w:val="005B485E"/>
    <w:rsid w:val="005D59F1"/>
    <w:rsid w:val="005D7314"/>
    <w:rsid w:val="005E16D9"/>
    <w:rsid w:val="005E576C"/>
    <w:rsid w:val="005F1426"/>
    <w:rsid w:val="005F2257"/>
    <w:rsid w:val="00602B82"/>
    <w:rsid w:val="00610352"/>
    <w:rsid w:val="00614447"/>
    <w:rsid w:val="006364BA"/>
    <w:rsid w:val="00640C06"/>
    <w:rsid w:val="00665C0E"/>
    <w:rsid w:val="006809E6"/>
    <w:rsid w:val="00682896"/>
    <w:rsid w:val="00695864"/>
    <w:rsid w:val="00695DD7"/>
    <w:rsid w:val="0069600D"/>
    <w:rsid w:val="006A4B8D"/>
    <w:rsid w:val="006B0470"/>
    <w:rsid w:val="006C723D"/>
    <w:rsid w:val="006D3C3F"/>
    <w:rsid w:val="006E00DF"/>
    <w:rsid w:val="006E52A2"/>
    <w:rsid w:val="006F70BC"/>
    <w:rsid w:val="007007FD"/>
    <w:rsid w:val="00731E19"/>
    <w:rsid w:val="00740A02"/>
    <w:rsid w:val="00743ED5"/>
    <w:rsid w:val="00744558"/>
    <w:rsid w:val="00762D6C"/>
    <w:rsid w:val="00764475"/>
    <w:rsid w:val="00765747"/>
    <w:rsid w:val="007934D9"/>
    <w:rsid w:val="007A343A"/>
    <w:rsid w:val="007E4F83"/>
    <w:rsid w:val="007F2ADC"/>
    <w:rsid w:val="007F4CAC"/>
    <w:rsid w:val="00803085"/>
    <w:rsid w:val="00832709"/>
    <w:rsid w:val="00881644"/>
    <w:rsid w:val="00882FBA"/>
    <w:rsid w:val="00887B33"/>
    <w:rsid w:val="00890AB8"/>
    <w:rsid w:val="008A38C6"/>
    <w:rsid w:val="008F4D91"/>
    <w:rsid w:val="008F5FAE"/>
    <w:rsid w:val="008F6EAA"/>
    <w:rsid w:val="00904072"/>
    <w:rsid w:val="0090446C"/>
    <w:rsid w:val="00907261"/>
    <w:rsid w:val="0091115F"/>
    <w:rsid w:val="00911D5F"/>
    <w:rsid w:val="00913E0D"/>
    <w:rsid w:val="009173F1"/>
    <w:rsid w:val="00945852"/>
    <w:rsid w:val="00950444"/>
    <w:rsid w:val="009516ED"/>
    <w:rsid w:val="009577D5"/>
    <w:rsid w:val="0098095F"/>
    <w:rsid w:val="009B66E9"/>
    <w:rsid w:val="009C4D4D"/>
    <w:rsid w:val="009D1691"/>
    <w:rsid w:val="009E428C"/>
    <w:rsid w:val="00A239B2"/>
    <w:rsid w:val="00A256D3"/>
    <w:rsid w:val="00A3358C"/>
    <w:rsid w:val="00A34AE5"/>
    <w:rsid w:val="00A47D79"/>
    <w:rsid w:val="00A5546A"/>
    <w:rsid w:val="00A55FB6"/>
    <w:rsid w:val="00A562CC"/>
    <w:rsid w:val="00A702D2"/>
    <w:rsid w:val="00A82E4F"/>
    <w:rsid w:val="00A840F0"/>
    <w:rsid w:val="00A877B2"/>
    <w:rsid w:val="00AA20D2"/>
    <w:rsid w:val="00AD3A2B"/>
    <w:rsid w:val="00AF0ACB"/>
    <w:rsid w:val="00AF4137"/>
    <w:rsid w:val="00B0157C"/>
    <w:rsid w:val="00B05832"/>
    <w:rsid w:val="00B05BC9"/>
    <w:rsid w:val="00B10911"/>
    <w:rsid w:val="00B1666D"/>
    <w:rsid w:val="00B2489E"/>
    <w:rsid w:val="00B86E45"/>
    <w:rsid w:val="00B94DE1"/>
    <w:rsid w:val="00BA2DE4"/>
    <w:rsid w:val="00BA41DF"/>
    <w:rsid w:val="00BC6B58"/>
    <w:rsid w:val="00BD1A1D"/>
    <w:rsid w:val="00BE6189"/>
    <w:rsid w:val="00BF173E"/>
    <w:rsid w:val="00BF5EB0"/>
    <w:rsid w:val="00C05DF7"/>
    <w:rsid w:val="00C214D8"/>
    <w:rsid w:val="00C25273"/>
    <w:rsid w:val="00C37775"/>
    <w:rsid w:val="00C37ADE"/>
    <w:rsid w:val="00C47F60"/>
    <w:rsid w:val="00C5139E"/>
    <w:rsid w:val="00C54AA7"/>
    <w:rsid w:val="00C54C95"/>
    <w:rsid w:val="00C60D0C"/>
    <w:rsid w:val="00C72F93"/>
    <w:rsid w:val="00C8131E"/>
    <w:rsid w:val="00C84865"/>
    <w:rsid w:val="00C92FE8"/>
    <w:rsid w:val="00CA3A78"/>
    <w:rsid w:val="00CC3ECB"/>
    <w:rsid w:val="00CD01CB"/>
    <w:rsid w:val="00CD61B6"/>
    <w:rsid w:val="00CF1F47"/>
    <w:rsid w:val="00D329BD"/>
    <w:rsid w:val="00D40EA4"/>
    <w:rsid w:val="00D41F4B"/>
    <w:rsid w:val="00D423E2"/>
    <w:rsid w:val="00D46439"/>
    <w:rsid w:val="00D857AD"/>
    <w:rsid w:val="00DA6E10"/>
    <w:rsid w:val="00DB4669"/>
    <w:rsid w:val="00DE188A"/>
    <w:rsid w:val="00DE4CB1"/>
    <w:rsid w:val="00DF25AB"/>
    <w:rsid w:val="00DF4163"/>
    <w:rsid w:val="00E029DB"/>
    <w:rsid w:val="00E2228B"/>
    <w:rsid w:val="00E23539"/>
    <w:rsid w:val="00E27A09"/>
    <w:rsid w:val="00E33C2F"/>
    <w:rsid w:val="00E50600"/>
    <w:rsid w:val="00E622F2"/>
    <w:rsid w:val="00E63543"/>
    <w:rsid w:val="00E660F1"/>
    <w:rsid w:val="00E6740E"/>
    <w:rsid w:val="00E85709"/>
    <w:rsid w:val="00E86EB7"/>
    <w:rsid w:val="00EA2081"/>
    <w:rsid w:val="00EA4E72"/>
    <w:rsid w:val="00EA5E5C"/>
    <w:rsid w:val="00ED22B5"/>
    <w:rsid w:val="00ED2430"/>
    <w:rsid w:val="00ED3CB6"/>
    <w:rsid w:val="00ED48BA"/>
    <w:rsid w:val="00EF300A"/>
    <w:rsid w:val="00EF3EDD"/>
    <w:rsid w:val="00EF5475"/>
    <w:rsid w:val="00F14BA0"/>
    <w:rsid w:val="00F17CC1"/>
    <w:rsid w:val="00F25591"/>
    <w:rsid w:val="00F43D85"/>
    <w:rsid w:val="00F64BA0"/>
    <w:rsid w:val="00F832E1"/>
    <w:rsid w:val="00F87B16"/>
    <w:rsid w:val="00F92DAE"/>
    <w:rsid w:val="00F95078"/>
    <w:rsid w:val="00F97A93"/>
    <w:rsid w:val="00FB3B66"/>
    <w:rsid w:val="00FC3941"/>
    <w:rsid w:val="00FD3627"/>
    <w:rsid w:val="00FF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9D1691"/>
    <w:pPr>
      <w:suppressAutoHyphens/>
      <w:autoSpaceDN w:val="0"/>
      <w:spacing w:line="360" w:lineRule="auto"/>
      <w:jc w:val="both"/>
      <w:textAlignment w:val="baseline"/>
    </w:pPr>
    <w:rPr>
      <w:rFonts w:ascii="Times New Roman" w:eastAsia="SimSun" w:hAnsi="Times New Roman" w:cs="Calibri"/>
      <w:kern w:val="3"/>
      <w:sz w:val="24"/>
    </w:rPr>
  </w:style>
  <w:style w:type="character" w:customStyle="1" w:styleId="markedcontent">
    <w:name w:val="markedcontent"/>
    <w:basedOn w:val="Domylnaczcionkaakapitu"/>
    <w:rsid w:val="007007FD"/>
  </w:style>
  <w:style w:type="character" w:customStyle="1" w:styleId="AkapitzlistZnak">
    <w:name w:val="Akapit z listą Znak"/>
    <w:link w:val="Akapitzlist"/>
    <w:uiPriority w:val="34"/>
    <w:locked/>
    <w:rsid w:val="005124FD"/>
    <w:rPr>
      <w:rFonts w:ascii="Trebuchet MS" w:eastAsia="Times New Roman" w:hAnsi="Trebuchet MS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mswia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mswia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aszylko</cp:lastModifiedBy>
  <cp:revision>7</cp:revision>
  <cp:lastPrinted>2023-12-07T12:36:00Z</cp:lastPrinted>
  <dcterms:created xsi:type="dcterms:W3CDTF">2024-06-12T10:20:00Z</dcterms:created>
  <dcterms:modified xsi:type="dcterms:W3CDTF">2024-09-17T12:36:00Z</dcterms:modified>
</cp:coreProperties>
</file>