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0243B28D"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A4C05">
        <w:rPr>
          <w:rFonts w:ascii="Arial" w:hAnsi="Arial" w:cs="Arial"/>
          <w:b/>
          <w:sz w:val="20"/>
          <w:szCs w:val="20"/>
        </w:rPr>
        <w:t>1-</w:t>
      </w:r>
      <w:r w:rsidR="00E971E7">
        <w:rPr>
          <w:rFonts w:ascii="Arial" w:hAnsi="Arial" w:cs="Arial"/>
          <w:b/>
          <w:sz w:val="20"/>
          <w:szCs w:val="20"/>
        </w:rPr>
        <w:t>7</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6E6002B"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1605 z pózn.zm</w:t>
      </w:r>
      <w:r w:rsidRPr="008B17A8">
        <w:rPr>
          <w:rFonts w:ascii="Arial" w:hAnsi="Arial" w:cs="Arial"/>
          <w:sz w:val="20"/>
          <w:szCs w:val="20"/>
        </w:rPr>
        <w:t>) – dalej Pzp.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1B7C9B75"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i dokumenty określone w załączniku nr 1 do umowy w terminie </w:t>
      </w:r>
      <w:r w:rsidR="00CA0E8F">
        <w:rPr>
          <w:rFonts w:ascii="Arial" w:hAnsi="Arial" w:cs="Arial"/>
          <w:sz w:val="20"/>
          <w:szCs w:val="20"/>
        </w:rPr>
        <w:t>…….</w:t>
      </w:r>
      <w:r w:rsidRPr="003E042E">
        <w:rPr>
          <w:rFonts w:ascii="Arial" w:hAnsi="Arial" w:cs="Arial"/>
          <w:sz w:val="20"/>
          <w:szCs w:val="20"/>
        </w:rPr>
        <w:t xml:space="preserve">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późn.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późn.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r w:rsidR="005B6352">
        <w:rPr>
          <w:rFonts w:ascii="Arial" w:hAnsi="Arial" w:cs="Arial"/>
          <w:sz w:val="20"/>
          <w:szCs w:val="20"/>
        </w:rPr>
        <w:t>Pzp</w:t>
      </w:r>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ED43F" w14:textId="77777777" w:rsidR="00DA1F98" w:rsidRDefault="00DA1F98" w:rsidP="00150A35">
      <w:r>
        <w:separator/>
      </w:r>
    </w:p>
  </w:endnote>
  <w:endnote w:type="continuationSeparator" w:id="0">
    <w:p w14:paraId="5C10C821" w14:textId="77777777" w:rsidR="00DA1F98" w:rsidRDefault="00DA1F98"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B4B4" w14:textId="77777777" w:rsidR="00DA1F98" w:rsidRDefault="00DA1F98" w:rsidP="00150A35">
      <w:r>
        <w:separator/>
      </w:r>
    </w:p>
  </w:footnote>
  <w:footnote w:type="continuationSeparator" w:id="0">
    <w:p w14:paraId="0D7284F5" w14:textId="77777777" w:rsidR="00DA1F98" w:rsidRDefault="00DA1F98"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0BAA0AA8" w:rsidR="00150A35" w:rsidRDefault="00150A35">
    <w:pPr>
      <w:pStyle w:val="Nagwek"/>
      <w:rPr>
        <w:sz w:val="20"/>
        <w:szCs w:val="20"/>
      </w:rPr>
    </w:pPr>
    <w:r w:rsidRPr="00150A35">
      <w:rPr>
        <w:sz w:val="20"/>
        <w:szCs w:val="20"/>
      </w:rPr>
      <w:t>DEA OZPA 272</w:t>
    </w:r>
    <w:r w:rsidR="00A17C1C">
      <w:rPr>
        <w:sz w:val="20"/>
        <w:szCs w:val="20"/>
      </w:rPr>
      <w:t>.</w:t>
    </w:r>
    <w:r w:rsidR="00CA0E8F">
      <w:rPr>
        <w:sz w:val="20"/>
        <w:szCs w:val="20"/>
      </w:rPr>
      <w:t>10</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E5879"/>
    <w:rsid w:val="004E6961"/>
    <w:rsid w:val="00501BE9"/>
    <w:rsid w:val="00514511"/>
    <w:rsid w:val="00547F1E"/>
    <w:rsid w:val="005504DB"/>
    <w:rsid w:val="00566E23"/>
    <w:rsid w:val="005A423E"/>
    <w:rsid w:val="005B6352"/>
    <w:rsid w:val="005F25F5"/>
    <w:rsid w:val="00632434"/>
    <w:rsid w:val="00634BB2"/>
    <w:rsid w:val="006502DA"/>
    <w:rsid w:val="00662C40"/>
    <w:rsid w:val="006B4FFA"/>
    <w:rsid w:val="006C26B7"/>
    <w:rsid w:val="006D7F65"/>
    <w:rsid w:val="006F5A75"/>
    <w:rsid w:val="0073613A"/>
    <w:rsid w:val="007412FE"/>
    <w:rsid w:val="00756564"/>
    <w:rsid w:val="00771740"/>
    <w:rsid w:val="00771F60"/>
    <w:rsid w:val="007B38C7"/>
    <w:rsid w:val="007D7BA7"/>
    <w:rsid w:val="00872F93"/>
    <w:rsid w:val="008A52ED"/>
    <w:rsid w:val="008E07A3"/>
    <w:rsid w:val="008E4206"/>
    <w:rsid w:val="008F512A"/>
    <w:rsid w:val="009508C1"/>
    <w:rsid w:val="00977C9B"/>
    <w:rsid w:val="009819F4"/>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A0E8F"/>
    <w:rsid w:val="00CC4D91"/>
    <w:rsid w:val="00D17FC3"/>
    <w:rsid w:val="00D27B94"/>
    <w:rsid w:val="00D5101F"/>
    <w:rsid w:val="00D71712"/>
    <w:rsid w:val="00D84E06"/>
    <w:rsid w:val="00DA1F98"/>
    <w:rsid w:val="00DF02B5"/>
    <w:rsid w:val="00DF0696"/>
    <w:rsid w:val="00E26041"/>
    <w:rsid w:val="00E468F8"/>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12446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3</cp:revision>
  <cp:lastPrinted>2024-02-20T08:20:00Z</cp:lastPrinted>
  <dcterms:created xsi:type="dcterms:W3CDTF">2024-03-11T08:28:00Z</dcterms:created>
  <dcterms:modified xsi:type="dcterms:W3CDTF">2024-04-29T10:07:00Z</dcterms:modified>
</cp:coreProperties>
</file>