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736B5">
      <w:pPr>
        <w:spacing w:line="276" w:lineRule="auto"/>
        <w:rPr>
          <w:rFonts w:ascii="Calibri" w:hAnsi="Calibri" w:cs="Calibri"/>
          <w:b/>
          <w:spacing w:val="-2"/>
          <w:sz w:val="24"/>
          <w:szCs w:val="24"/>
        </w:rPr>
      </w:pPr>
    </w:p>
    <w:p w:rsidR="004736B5" w:rsidRDefault="004736B5" w:rsidP="004736B5">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Pr>
          <w:rFonts w:ascii="Calibri" w:hAnsi="Calibri" w:cs="Calibri"/>
          <w:b/>
          <w:spacing w:val="-2"/>
          <w:sz w:val="24"/>
          <w:szCs w:val="24"/>
        </w:rPr>
        <w:t>Opracowanie kompletnej dokumentacji projektowo-kosztorysowej remontu budynków mieszkalnych wielorodzinnych przy al. Powstańców Wielkopolskich 37, 38, 39</w:t>
      </w:r>
    </w:p>
    <w:p w:rsidR="004736B5" w:rsidRPr="00322F6A" w:rsidRDefault="004736B5" w:rsidP="004736B5">
      <w:pPr>
        <w:spacing w:line="276" w:lineRule="auto"/>
        <w:jc w:val="center"/>
        <w:rPr>
          <w:rFonts w:ascii="Calibri" w:hAnsi="Calibri" w:cs="Calibri"/>
          <w:b/>
          <w:spacing w:val="-2"/>
          <w:sz w:val="24"/>
          <w:szCs w:val="24"/>
        </w:rPr>
      </w:pPr>
      <w:r>
        <w:rPr>
          <w:rFonts w:ascii="Calibri" w:hAnsi="Calibri" w:cs="Calibri"/>
          <w:b/>
          <w:spacing w:val="-2"/>
          <w:sz w:val="24"/>
          <w:szCs w:val="24"/>
        </w:rPr>
        <w:t xml:space="preserve">                    w Szczecinie</w:t>
      </w:r>
      <w:r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2C6E88" w:rsidRDefault="008553DC" w:rsidP="009A36E4">
      <w:pPr>
        <w:pStyle w:val="Akapitzlist"/>
        <w:numPr>
          <w:ilvl w:val="0"/>
          <w:numId w:val="26"/>
        </w:numPr>
        <w:ind w:left="284" w:hanging="284"/>
        <w:jc w:val="both"/>
        <w:rPr>
          <w:rFonts w:cs="Calibri"/>
          <w:b/>
          <w:spacing w:val="-2"/>
          <w:sz w:val="24"/>
          <w:szCs w:val="24"/>
        </w:rPr>
      </w:pPr>
      <w:r w:rsidRPr="002C6E88">
        <w:rPr>
          <w:rFonts w:cs="Calibri"/>
          <w:sz w:val="24"/>
          <w:szCs w:val="24"/>
        </w:rPr>
        <w:t xml:space="preserve">Nazwa postępowania: </w:t>
      </w:r>
      <w:r w:rsidR="00B67C8E" w:rsidRPr="002C6E88">
        <w:rPr>
          <w:rFonts w:cs="Calibri"/>
          <w:sz w:val="24"/>
          <w:szCs w:val="24"/>
        </w:rPr>
        <w:t>„</w:t>
      </w:r>
      <w:r w:rsidR="00195900" w:rsidRPr="002C6E88">
        <w:rPr>
          <w:rFonts w:cs="Calibri"/>
          <w:b/>
          <w:spacing w:val="-2"/>
          <w:sz w:val="24"/>
          <w:szCs w:val="24"/>
        </w:rPr>
        <w:t xml:space="preserve">Opracowanie kompletnej dokumentacji projektowo-kosztorysowej </w:t>
      </w:r>
      <w:r w:rsidR="002E309C">
        <w:rPr>
          <w:rFonts w:cs="Calibri"/>
          <w:b/>
          <w:spacing w:val="-2"/>
          <w:sz w:val="24"/>
          <w:szCs w:val="24"/>
        </w:rPr>
        <w:t xml:space="preserve">wykonania robót budowlanych w </w:t>
      </w:r>
      <w:r w:rsidR="00195900" w:rsidRPr="002C6E88">
        <w:rPr>
          <w:rFonts w:cs="Calibri"/>
          <w:b/>
          <w:spacing w:val="-2"/>
          <w:sz w:val="24"/>
          <w:szCs w:val="24"/>
        </w:rPr>
        <w:t>budynk</w:t>
      </w:r>
      <w:r w:rsidR="002E309C">
        <w:rPr>
          <w:rFonts w:cs="Calibri"/>
          <w:b/>
          <w:spacing w:val="-2"/>
          <w:sz w:val="24"/>
          <w:szCs w:val="24"/>
        </w:rPr>
        <w:t>ach</w:t>
      </w:r>
      <w:r w:rsidR="00195900" w:rsidRPr="002C6E88">
        <w:rPr>
          <w:rFonts w:cs="Calibri"/>
          <w:b/>
          <w:spacing w:val="-2"/>
          <w:sz w:val="24"/>
          <w:szCs w:val="24"/>
        </w:rPr>
        <w:t xml:space="preserve"> mieszkalnych wielorodzinnych przy </w:t>
      </w:r>
      <w:r w:rsidR="002E309C">
        <w:rPr>
          <w:rFonts w:cs="Calibri"/>
          <w:b/>
          <w:spacing w:val="-2"/>
          <w:sz w:val="24"/>
          <w:szCs w:val="24"/>
        </w:rPr>
        <w:t xml:space="preserve">                          </w:t>
      </w:r>
      <w:r w:rsidR="00195900" w:rsidRPr="002C6E88">
        <w:rPr>
          <w:rFonts w:cs="Calibri"/>
          <w:b/>
          <w:spacing w:val="-2"/>
          <w:sz w:val="24"/>
          <w:szCs w:val="24"/>
        </w:rPr>
        <w:t xml:space="preserve"> al. Powstańców Wielkopolskich 37, al. Powstańców Wielkopolskich 38 i al. Powstańców Wielkopolskich 39 w Szczecinie</w:t>
      </w:r>
      <w:r w:rsidR="002E309C">
        <w:rPr>
          <w:rFonts w:cs="Calibri"/>
          <w:b/>
          <w:spacing w:val="-2"/>
          <w:sz w:val="24"/>
          <w:szCs w:val="24"/>
        </w:rPr>
        <w:t xml:space="preserve">, wraz z uzyskaniem niezbędnych uzgodnień i pozwoleń  oraz sprawowaniem nadzoru autorskiego w odniesieniu do zaprojektowanych robót </w:t>
      </w:r>
      <w:r w:rsidR="00B67C8E" w:rsidRPr="002C6E88">
        <w:rPr>
          <w:rFonts w:cs="Calibri"/>
          <w:b/>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0E3D5D" w:rsidRDefault="008553DC" w:rsidP="00195900">
      <w:pPr>
        <w:pStyle w:val="Akapitzlist"/>
        <w:numPr>
          <w:ilvl w:val="0"/>
          <w:numId w:val="26"/>
        </w:numPr>
        <w:ind w:left="284" w:hanging="284"/>
        <w:jc w:val="both"/>
        <w:rPr>
          <w:rFonts w:cs="Calibri"/>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195900">
        <w:rPr>
          <w:rFonts w:cs="Calibri"/>
          <w:bCs/>
          <w:spacing w:val="-6"/>
          <w:sz w:val="24"/>
          <w:szCs w:val="24"/>
        </w:rPr>
        <w:t xml:space="preserve">nie </w:t>
      </w:r>
      <w:r w:rsidRPr="009A36E4">
        <w:rPr>
          <w:rFonts w:cs="Calibri"/>
          <w:bCs/>
          <w:spacing w:val="-6"/>
          <w:sz w:val="24"/>
          <w:szCs w:val="24"/>
        </w:rPr>
        <w:t xml:space="preserve">dopuszcza składanie ofert częściowych. </w:t>
      </w:r>
    </w:p>
    <w:p w:rsidR="000E3D5D" w:rsidRPr="000E3D5D" w:rsidRDefault="000E3D5D" w:rsidP="00195900">
      <w:pPr>
        <w:pStyle w:val="Akapitzlist"/>
        <w:numPr>
          <w:ilvl w:val="0"/>
          <w:numId w:val="26"/>
        </w:numPr>
        <w:ind w:left="284" w:hanging="284"/>
        <w:jc w:val="both"/>
        <w:rPr>
          <w:rFonts w:cs="Calibri"/>
          <w:spacing w:val="-6"/>
          <w:sz w:val="24"/>
          <w:szCs w:val="24"/>
        </w:rPr>
      </w:pPr>
      <w:r>
        <w:rPr>
          <w:rFonts w:cs="Calibri"/>
          <w:bCs/>
          <w:spacing w:val="-6"/>
          <w:sz w:val="24"/>
          <w:szCs w:val="24"/>
        </w:rPr>
        <w:t>Powody niedokonania podziału zamówienia na części:</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lastRenderedPageBreak/>
        <w:t>brak podziału na części nie wpływa na konkurencję,</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t xml:space="preserve">brak podziału </w:t>
      </w:r>
      <w:r w:rsidR="006249B3" w:rsidRPr="002C6E88">
        <w:rPr>
          <w:rFonts w:cs="Calibri"/>
          <w:bCs/>
          <w:spacing w:val="-6"/>
          <w:sz w:val="24"/>
          <w:szCs w:val="24"/>
        </w:rPr>
        <w:t xml:space="preserve">na części podyktowany jest </w:t>
      </w:r>
      <w:r w:rsidRPr="002C6E88">
        <w:rPr>
          <w:rFonts w:cs="Calibri"/>
          <w:bCs/>
          <w:spacing w:val="-6"/>
          <w:sz w:val="24"/>
          <w:szCs w:val="24"/>
        </w:rPr>
        <w:t xml:space="preserve">względami technicznymi, co umożliwi jednolity wygląd budynków w </w:t>
      </w:r>
      <w:r w:rsidR="006249B3" w:rsidRPr="002C6E88">
        <w:rPr>
          <w:rFonts w:cs="Calibri"/>
          <w:bCs/>
          <w:spacing w:val="-6"/>
          <w:sz w:val="24"/>
          <w:szCs w:val="24"/>
        </w:rPr>
        <w:t>pierzei</w:t>
      </w:r>
      <w:r w:rsidR="00C15602" w:rsidRPr="002C6E88">
        <w:rPr>
          <w:rFonts w:cs="Calibri"/>
          <w:bCs/>
          <w:spacing w:val="-6"/>
          <w:sz w:val="24"/>
          <w:szCs w:val="24"/>
        </w:rPr>
        <w:t xml:space="preserve"> pod względem architektonicznym,</w:t>
      </w:r>
    </w:p>
    <w:p w:rsidR="00C15602" w:rsidRPr="002C6E88" w:rsidRDefault="00C15602" w:rsidP="000E3D5D">
      <w:pPr>
        <w:pStyle w:val="Akapitzlist"/>
        <w:numPr>
          <w:ilvl w:val="0"/>
          <w:numId w:val="39"/>
        </w:numPr>
        <w:jc w:val="both"/>
        <w:rPr>
          <w:rFonts w:cs="Calibri"/>
          <w:spacing w:val="-6"/>
          <w:sz w:val="24"/>
          <w:szCs w:val="24"/>
        </w:rPr>
      </w:pPr>
      <w:r w:rsidRPr="002C6E88">
        <w:rPr>
          <w:rFonts w:cs="Calibri"/>
          <w:bCs/>
          <w:spacing w:val="-6"/>
          <w:sz w:val="24"/>
          <w:szCs w:val="24"/>
        </w:rPr>
        <w:t>brak podziału na części podyktowany jest względami ekonomicznymi – realizacja efektu skali.</w:t>
      </w:r>
    </w:p>
    <w:p w:rsidR="008C68B3" w:rsidRPr="008C68B3" w:rsidRDefault="008553DC" w:rsidP="000E3D5D">
      <w:pPr>
        <w:pStyle w:val="Akapitzlist"/>
        <w:numPr>
          <w:ilvl w:val="0"/>
          <w:numId w:val="26"/>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6A4027"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lastRenderedPageBreak/>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6A4027"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lastRenderedPageBreak/>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 xml:space="preserve">o udzielenie zamówienia publicznego i zachowaniem odpowiedniego odstępu czasu do </w:t>
      </w:r>
      <w:r w:rsidRPr="00F40319">
        <w:rPr>
          <w:rFonts w:ascii="Calibri" w:hAnsi="Calibri" w:cs="Calibri"/>
          <w:spacing w:val="-4"/>
          <w:sz w:val="24"/>
          <w:szCs w:val="24"/>
        </w:rPr>
        <w:lastRenderedPageBreak/>
        <w:t>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lastRenderedPageBreak/>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 xml:space="preserve">jeżeli zamawiający może stwierdzić, na podstawie wiarygodnych przesłanek, że wykonawca zawarł z innymi wykonawcami porozumienie mające na celu zakłócenie </w:t>
      </w:r>
      <w:r w:rsidRPr="00302CF1">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566969" w:rsidRDefault="00DA1C6C" w:rsidP="00001102">
      <w:pPr>
        <w:pStyle w:val="Akapitzlist"/>
        <w:numPr>
          <w:ilvl w:val="2"/>
          <w:numId w:val="17"/>
        </w:numPr>
        <w:tabs>
          <w:tab w:val="left" w:pos="284"/>
        </w:tabs>
        <w:ind w:left="709" w:hanging="283"/>
        <w:jc w:val="both"/>
        <w:rPr>
          <w:rFonts w:cs="Calibri"/>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j, obejmującej swoim zakresem remont lub budowę</w:t>
      </w:r>
      <w:r w:rsidR="00B572CA" w:rsidRPr="00566969">
        <w:rPr>
          <w:rFonts w:cs="Calibri"/>
          <w:spacing w:val="-6"/>
          <w:sz w:val="24"/>
          <w:szCs w:val="24"/>
        </w:rPr>
        <w:t xml:space="preserve"> budynku mieszkalnego </w:t>
      </w:r>
      <w:r w:rsidR="00331B19" w:rsidRPr="00566969">
        <w:rPr>
          <w:rFonts w:cs="Calibri"/>
          <w:spacing w:val="-6"/>
          <w:sz w:val="24"/>
          <w:szCs w:val="24"/>
        </w:rPr>
        <w:t xml:space="preserve">lub budynku użytkowego, na kwotę nie </w:t>
      </w:r>
      <w:r w:rsidR="00331B19" w:rsidRPr="00566969">
        <w:rPr>
          <w:rFonts w:cs="Calibri"/>
          <w:spacing w:val="-6"/>
          <w:sz w:val="24"/>
          <w:szCs w:val="24"/>
        </w:rPr>
        <w:lastRenderedPageBreak/>
        <w:t xml:space="preserve">niższą niż </w:t>
      </w:r>
      <w:r w:rsidR="00331B19" w:rsidRPr="00273D01">
        <w:rPr>
          <w:rFonts w:cs="Calibri"/>
          <w:b/>
          <w:spacing w:val="-6"/>
          <w:sz w:val="24"/>
          <w:szCs w:val="24"/>
        </w:rPr>
        <w:t>15 000,00 zł brutto,</w:t>
      </w:r>
      <w:r w:rsidR="00331B19" w:rsidRPr="00566969">
        <w:rPr>
          <w:rFonts w:cs="Calibri"/>
          <w:spacing w:val="-6"/>
          <w:sz w:val="24"/>
          <w:szCs w:val="24"/>
        </w:rPr>
        <w:t xml:space="preserve"> wraz z uzyskaniem pozwolenia na budowę i sprawowaniem nadzoru autorskiego.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566969" w:rsidRDefault="007F393C" w:rsidP="00DC494A">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b.1) jedną osobą posiadającą uprawnienia do pełnienia samodzielnych funkcji technicznych w budownictwie  tj. do </w:t>
      </w:r>
      <w:r w:rsidR="001C4A63" w:rsidRPr="00566969">
        <w:rPr>
          <w:rFonts w:cs="Calibri"/>
          <w:spacing w:val="-6"/>
          <w:sz w:val="24"/>
          <w:szCs w:val="24"/>
        </w:rPr>
        <w:t xml:space="preserve">projektowania </w:t>
      </w:r>
      <w:r w:rsidRPr="00566969">
        <w:rPr>
          <w:rFonts w:cs="Calibri"/>
          <w:spacing w:val="-6"/>
          <w:sz w:val="24"/>
          <w:szCs w:val="24"/>
        </w:rPr>
        <w:t>w specjalności</w:t>
      </w:r>
      <w:r w:rsidRPr="00566969">
        <w:rPr>
          <w:rFonts w:cs="Calibri"/>
          <w:b/>
          <w:spacing w:val="-6"/>
          <w:sz w:val="24"/>
          <w:szCs w:val="24"/>
        </w:rPr>
        <w:t xml:space="preserve"> </w:t>
      </w:r>
      <w:r w:rsidR="001C4A63" w:rsidRPr="00566969">
        <w:rPr>
          <w:rFonts w:cs="Calibri"/>
          <w:b/>
          <w:spacing w:val="-6"/>
          <w:sz w:val="24"/>
          <w:szCs w:val="24"/>
        </w:rPr>
        <w:t>architektonicznej</w:t>
      </w:r>
      <w:r w:rsidRPr="00566969">
        <w:rPr>
          <w:rFonts w:cs="Calibri"/>
          <w:b/>
          <w:spacing w:val="-6"/>
          <w:sz w:val="24"/>
          <w:szCs w:val="24"/>
        </w:rPr>
        <w:t xml:space="preserve"> bez ograniczeń</w:t>
      </w:r>
      <w:r w:rsidR="001C4A63" w:rsidRPr="00566969">
        <w:rPr>
          <w:rFonts w:cs="Calibri"/>
          <w:spacing w:val="-6"/>
          <w:sz w:val="24"/>
          <w:szCs w:val="24"/>
        </w:rPr>
        <w:t xml:space="preserve">,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b.2) jedną osobą posiadającą uprawnienia do pełnienia samodzielnych funkcji technicznych w budownictwie tj. do </w:t>
      </w:r>
      <w:r w:rsidR="001C4A63" w:rsidRPr="00566969">
        <w:rPr>
          <w:rFonts w:cs="Calibri"/>
          <w:spacing w:val="-6"/>
          <w:sz w:val="24"/>
          <w:szCs w:val="24"/>
        </w:rPr>
        <w:t>projektowania</w:t>
      </w:r>
      <w:r w:rsidRPr="00566969">
        <w:rPr>
          <w:rFonts w:cs="Calibri"/>
          <w:spacing w:val="-6"/>
          <w:sz w:val="24"/>
          <w:szCs w:val="24"/>
        </w:rPr>
        <w:t xml:space="preserve"> w specjalności </w:t>
      </w:r>
      <w:r w:rsidR="000F303B" w:rsidRPr="00566969">
        <w:rPr>
          <w:rFonts w:cs="Calibri"/>
          <w:b/>
          <w:spacing w:val="-6"/>
          <w:sz w:val="24"/>
          <w:szCs w:val="24"/>
        </w:rPr>
        <w:t>konstrukcyjno-budowlanej</w:t>
      </w:r>
      <w:r w:rsidRPr="00566969">
        <w:rPr>
          <w:rFonts w:cs="Calibri"/>
          <w:b/>
          <w:spacing w:val="-6"/>
          <w:sz w:val="24"/>
          <w:szCs w:val="24"/>
        </w:rPr>
        <w:t xml:space="preserve"> bez ograniczeń,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b.3) jedną osobą posiadającą uprawnienia do pełnienia samodzielnych funkcji w budownictwie tj. do </w:t>
      </w:r>
      <w:r w:rsidR="000F303B" w:rsidRPr="00566969">
        <w:rPr>
          <w:rFonts w:cs="Calibri"/>
          <w:spacing w:val="-6"/>
          <w:sz w:val="24"/>
          <w:szCs w:val="24"/>
        </w:rPr>
        <w:t>projektowania</w:t>
      </w:r>
      <w:r w:rsidRPr="00566969">
        <w:rPr>
          <w:rFonts w:cs="Calibri"/>
          <w:spacing w:val="-6"/>
          <w:sz w:val="24"/>
          <w:szCs w:val="24"/>
        </w:rPr>
        <w:t xml:space="preserve"> w specjalności instalacyjnej w zakresie </w:t>
      </w:r>
      <w:r w:rsidRPr="00566969">
        <w:rPr>
          <w:rFonts w:cs="Calibri"/>
          <w:b/>
          <w:spacing w:val="-6"/>
          <w:sz w:val="24"/>
          <w:szCs w:val="24"/>
        </w:rPr>
        <w:t xml:space="preserve"> instalacji </w:t>
      </w:r>
      <w:r w:rsidR="00273D01">
        <w:rPr>
          <w:rFonts w:cs="Calibri"/>
          <w:b/>
          <w:spacing w:val="-6"/>
          <w:sz w:val="24"/>
          <w:szCs w:val="24"/>
        </w:rPr>
        <w:t xml:space="preserve"> </w:t>
      </w:r>
      <w:r w:rsidRPr="00566969">
        <w:rPr>
          <w:rFonts w:cs="Calibri"/>
          <w:b/>
          <w:spacing w:val="-6"/>
          <w:sz w:val="24"/>
          <w:szCs w:val="24"/>
        </w:rPr>
        <w:t>i urządzeń elektrycznych bez ograniczeń,</w:t>
      </w:r>
      <w:r w:rsidR="000F303B" w:rsidRPr="00566969">
        <w:rPr>
          <w:rFonts w:cs="Calibri"/>
          <w:spacing w:val="-6"/>
          <w:sz w:val="24"/>
          <w:szCs w:val="24"/>
        </w:rPr>
        <w:t xml:space="preserve"> </w:t>
      </w:r>
    </w:p>
    <w:p w:rsidR="007F393C" w:rsidRPr="00566969" w:rsidRDefault="007F393C" w:rsidP="007F393C">
      <w:pPr>
        <w:tabs>
          <w:tab w:val="left" w:pos="284"/>
        </w:tabs>
        <w:ind w:left="284"/>
        <w:jc w:val="both"/>
        <w:rPr>
          <w:rFonts w:cs="Calibri"/>
          <w:spacing w:val="-6"/>
          <w:sz w:val="24"/>
          <w:szCs w:val="24"/>
        </w:rPr>
      </w:pPr>
      <w:r w:rsidRPr="00566969">
        <w:rPr>
          <w:rFonts w:ascii="Calibri" w:hAnsi="Calibri" w:cs="Calibri"/>
          <w:i/>
          <w:spacing w:val="-2"/>
          <w:sz w:val="22"/>
          <w:szCs w:val="22"/>
        </w:rPr>
        <w:t>Zamawiający dopuszcza łączenie ww. specjalności jeżeli którakolwiek z uprawnionych osób będzie</w:t>
      </w:r>
      <w:r w:rsidRPr="00566969">
        <w:rPr>
          <w:rFonts w:ascii="Calibri" w:hAnsi="Calibri" w:cs="Calibri"/>
          <w:i/>
          <w:spacing w:val="-2"/>
          <w:sz w:val="22"/>
          <w:szCs w:val="22"/>
          <w:u w:val="single"/>
        </w:rPr>
        <w:t xml:space="preserve"> </w:t>
      </w:r>
      <w:r w:rsidRPr="00566969">
        <w:rPr>
          <w:rFonts w:ascii="Calibri" w:hAnsi="Calibri" w:cs="Calibri"/>
          <w:i/>
          <w:spacing w:val="-2"/>
          <w:sz w:val="22"/>
          <w:szCs w:val="22"/>
        </w:rPr>
        <w:t>posiadała łącznie wymagane przez zamawiającego uprawnienia.</w:t>
      </w:r>
    </w:p>
    <w:p w:rsidR="007F393C" w:rsidRPr="00566969" w:rsidRDefault="007F393C" w:rsidP="007F393C">
      <w:pPr>
        <w:tabs>
          <w:tab w:val="left" w:pos="284"/>
        </w:tabs>
        <w:spacing w:line="276" w:lineRule="auto"/>
        <w:ind w:left="284" w:hanging="284"/>
        <w:jc w:val="both"/>
        <w:rPr>
          <w:rFonts w:ascii="Calibri" w:hAnsi="Calibri" w:cs="Calibri"/>
          <w:i/>
          <w:spacing w:val="-4"/>
          <w:sz w:val="22"/>
          <w:szCs w:val="22"/>
        </w:rPr>
      </w:pPr>
      <w:r w:rsidRPr="00566969">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w:t>
      </w:r>
      <w:r w:rsidRPr="0011297A">
        <w:rPr>
          <w:rFonts w:ascii="Calibri" w:hAnsi="Calibri" w:cs="Calibri"/>
          <w:i/>
        </w:rPr>
        <w:lastRenderedPageBreak/>
        <w:t>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w:t>
      </w:r>
      <w:r>
        <w:rPr>
          <w:rFonts w:ascii="Calibri" w:hAnsi="Calibri" w:cs="Calibri"/>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DC494A">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551C06">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9C5BFD" w:rsidRPr="005D103E">
        <w:rPr>
          <w:rFonts w:cs="Calibri"/>
          <w:b/>
          <w:spacing w:val="-6"/>
          <w:sz w:val="24"/>
          <w:szCs w:val="24"/>
        </w:rPr>
        <w:t>10</w:t>
      </w:r>
      <w:r w:rsidR="008704FD" w:rsidRPr="005D103E">
        <w:rPr>
          <w:rFonts w:cs="Calibri"/>
          <w:b/>
          <w:spacing w:val="-6"/>
          <w:sz w:val="24"/>
          <w:szCs w:val="24"/>
        </w:rPr>
        <w:t>0</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551C06" w:rsidRPr="005D103E">
        <w:rPr>
          <w:rFonts w:cs="Calibri"/>
          <w:spacing w:val="-6"/>
          <w:sz w:val="24"/>
          <w:szCs w:val="24"/>
        </w:rPr>
        <w:t>wszystkich (</w:t>
      </w:r>
      <w:r w:rsidR="00944353" w:rsidRPr="005D103E">
        <w:rPr>
          <w:rFonts w:cs="Calibri"/>
          <w:spacing w:val="-6"/>
          <w:sz w:val="24"/>
          <w:szCs w:val="24"/>
        </w:rPr>
        <w:t xml:space="preserve">dla </w:t>
      </w:r>
      <w:r w:rsidR="00551C06" w:rsidRPr="005D103E">
        <w:rPr>
          <w:rFonts w:cs="Calibri"/>
          <w:spacing w:val="-6"/>
          <w:sz w:val="24"/>
          <w:szCs w:val="24"/>
        </w:rPr>
        <w:t>4 budynków) kompletnych dokumentacji projektowo-kosztorysowych i złożenia wniosków o udzielenie pozwolenia na budowę lub wniosków o wydanie zaświadczenia o zgłoszeniu robót budowlanych nie wymagających pozwolenia na budowę,</w:t>
      </w:r>
    </w:p>
    <w:p w:rsidR="00551C06" w:rsidRPr="00551C06" w:rsidRDefault="00551C06" w:rsidP="00551C06">
      <w:pPr>
        <w:pStyle w:val="Akapitzlist"/>
        <w:numPr>
          <w:ilvl w:val="1"/>
          <w:numId w:val="3"/>
        </w:numPr>
        <w:jc w:val="both"/>
        <w:rPr>
          <w:rFonts w:cs="Calibri"/>
          <w:b/>
          <w:color w:val="FF0000"/>
          <w:spacing w:val="-6"/>
          <w:sz w:val="24"/>
          <w:szCs w:val="24"/>
        </w:rPr>
      </w:pPr>
      <w:r w:rsidRPr="005D103E">
        <w:rPr>
          <w:rFonts w:cs="Calibri"/>
          <w:b/>
          <w:spacing w:val="-6"/>
          <w:sz w:val="24"/>
          <w:szCs w:val="24"/>
        </w:rPr>
        <w:t>10 dni kalendarzowych</w:t>
      </w:r>
      <w:r w:rsidRPr="005D103E">
        <w:rPr>
          <w:rFonts w:cs="Calibri"/>
          <w:spacing w:val="-6"/>
          <w:sz w:val="24"/>
          <w:szCs w:val="24"/>
        </w:rPr>
        <w:t xml:space="preserve"> </w:t>
      </w:r>
      <w:r w:rsidR="00241678" w:rsidRPr="005D103E">
        <w:rPr>
          <w:rFonts w:cs="Calibri"/>
          <w:spacing w:val="-6"/>
          <w:sz w:val="24"/>
          <w:szCs w:val="24"/>
        </w:rPr>
        <w:t>od daty wydania pozwolenia na budowę  lub zaświadczenia o zgłoszeniu robót budowlanych nie wymagających pozwolenia na budowę,</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lastRenderedPageBreak/>
        <w:t>kompletnych dokumentacji wraz z pozwoleniem na budowę lub zaświadczeniem o zgłoszeniu robót budowlanych nie wymagających pozwolenia na budowę.</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 xml:space="preserve">Gwarancja jakości </w:t>
      </w:r>
      <w:r w:rsidR="00B26180">
        <w:rPr>
          <w:rFonts w:ascii="Arial" w:hAnsi="Arial" w:cs="Arial"/>
          <w:b/>
          <w:spacing w:val="-4"/>
        </w:rPr>
        <w:t xml:space="preserve">i rękojmi </w:t>
      </w:r>
      <w:r w:rsidRPr="00CB5452">
        <w:rPr>
          <w:rFonts w:ascii="Arial" w:hAnsi="Arial" w:cs="Arial"/>
          <w:b/>
          <w:spacing w:val="-4"/>
        </w:rPr>
        <w:t xml:space="preserve">wykonanych </w:t>
      </w:r>
      <w:r w:rsidR="00273D01">
        <w:rPr>
          <w:rFonts w:ascii="Arial" w:hAnsi="Arial" w:cs="Arial"/>
          <w:b/>
          <w:spacing w:val="-4"/>
        </w:rPr>
        <w:t>usług</w:t>
      </w:r>
      <w:r w:rsidRPr="00CB5452">
        <w:rPr>
          <w:rFonts w:ascii="Arial" w:hAnsi="Arial" w:cs="Arial"/>
          <w:b/>
          <w:spacing w:val="-4"/>
        </w:rPr>
        <w: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6648F0" w:rsidP="00CB5452">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 (cena ofertowa, która będzie podlegała ocenie),</w:t>
      </w:r>
    </w:p>
    <w:p w:rsidR="00111425" w:rsidRDefault="00111425" w:rsidP="00271442">
      <w:pPr>
        <w:pStyle w:val="Akapitzlist"/>
        <w:numPr>
          <w:ilvl w:val="1"/>
          <w:numId w:val="9"/>
        </w:numPr>
        <w:suppressAutoHyphens/>
        <w:ind w:left="851" w:hanging="284"/>
        <w:jc w:val="both"/>
        <w:rPr>
          <w:rFonts w:cs="Calibri"/>
          <w:sz w:val="24"/>
          <w:szCs w:val="24"/>
        </w:rPr>
      </w:pPr>
      <w:r>
        <w:rPr>
          <w:rFonts w:cs="Calibri"/>
          <w:sz w:val="24"/>
          <w:szCs w:val="24"/>
        </w:rPr>
        <w:t>cenę brutto, za opracowanie kompletnej dokumentacji projektowo-kosztorysowej dla każdego budynku mieszkalnego oddzielnie,</w:t>
      </w:r>
    </w:p>
    <w:p w:rsidR="00111425" w:rsidRPr="00271442" w:rsidRDefault="00111425" w:rsidP="003362AF">
      <w:pPr>
        <w:pStyle w:val="Akapitzlist"/>
        <w:numPr>
          <w:ilvl w:val="1"/>
          <w:numId w:val="9"/>
        </w:numPr>
        <w:suppressAutoHyphens/>
        <w:spacing w:after="0"/>
        <w:ind w:left="851" w:hanging="284"/>
        <w:jc w:val="both"/>
        <w:rPr>
          <w:rFonts w:cs="Calibri"/>
          <w:sz w:val="24"/>
          <w:szCs w:val="24"/>
        </w:rPr>
      </w:pPr>
      <w:r>
        <w:rPr>
          <w:rFonts w:cs="Calibri"/>
          <w:sz w:val="24"/>
          <w:szCs w:val="24"/>
        </w:rPr>
        <w:t>cenę brutto, za sprawowanie nadzoru autorskiego, w odniesieniu do zaprojektowanych robót dla każdego budynku oddzielnie.</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lastRenderedPageBreak/>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65601C">
      <w:pPr>
        <w:pStyle w:val="Akapitzlist"/>
        <w:widowControl w:val="0"/>
        <w:numPr>
          <w:ilvl w:val="3"/>
          <w:numId w:val="33"/>
        </w:numPr>
        <w:tabs>
          <w:tab w:val="left" w:pos="709"/>
          <w:tab w:val="left" w:pos="9356"/>
        </w:tabs>
        <w:autoSpaceDE w:val="0"/>
        <w:autoSpaceDN w:val="0"/>
        <w:adjustRightInd w:val="0"/>
        <w:spacing w:after="0"/>
        <w:ind w:left="284"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65601C">
        <w:rPr>
          <w:rFonts w:cs="Calibri"/>
          <w:b/>
          <w:color w:val="FF0000"/>
          <w:spacing w:val="1"/>
          <w:sz w:val="24"/>
          <w:szCs w:val="24"/>
        </w:rPr>
        <w:t>d</w:t>
      </w:r>
      <w:r w:rsidRPr="0065601C">
        <w:rPr>
          <w:rFonts w:cs="Calibri"/>
          <w:b/>
          <w:color w:val="FF0000"/>
          <w:sz w:val="24"/>
          <w:szCs w:val="24"/>
        </w:rPr>
        <w:t>o</w:t>
      </w:r>
      <w:r w:rsidRPr="0065601C">
        <w:rPr>
          <w:rFonts w:cs="Calibri"/>
          <w:b/>
          <w:color w:val="FF0000"/>
          <w:spacing w:val="-3"/>
          <w:sz w:val="24"/>
          <w:szCs w:val="24"/>
        </w:rPr>
        <w:t xml:space="preserve"> </w:t>
      </w:r>
      <w:r w:rsidRPr="0065601C">
        <w:rPr>
          <w:rFonts w:cs="Calibri"/>
          <w:b/>
          <w:color w:val="FF0000"/>
          <w:sz w:val="24"/>
          <w:szCs w:val="24"/>
        </w:rPr>
        <w:t>d</w:t>
      </w:r>
      <w:r w:rsidRPr="0065601C">
        <w:rPr>
          <w:rFonts w:cs="Calibri"/>
          <w:b/>
          <w:color w:val="FF0000"/>
          <w:spacing w:val="1"/>
          <w:sz w:val="24"/>
          <w:szCs w:val="24"/>
        </w:rPr>
        <w:t>n</w:t>
      </w:r>
      <w:r w:rsidRPr="0065601C">
        <w:rPr>
          <w:rFonts w:cs="Calibri"/>
          <w:b/>
          <w:color w:val="FF0000"/>
          <w:spacing w:val="3"/>
          <w:sz w:val="24"/>
          <w:szCs w:val="24"/>
        </w:rPr>
        <w:t>i</w:t>
      </w:r>
      <w:r w:rsidRPr="0065601C">
        <w:rPr>
          <w:rFonts w:cs="Calibri"/>
          <w:b/>
          <w:color w:val="FF0000"/>
          <w:sz w:val="24"/>
          <w:szCs w:val="24"/>
        </w:rPr>
        <w:t>a</w:t>
      </w:r>
      <w:r w:rsidR="0065601C" w:rsidRPr="0065601C">
        <w:rPr>
          <w:rFonts w:cs="Calibri"/>
          <w:b/>
          <w:color w:val="FF0000"/>
          <w:sz w:val="24"/>
          <w:szCs w:val="24"/>
        </w:rPr>
        <w:t xml:space="preserve"> </w:t>
      </w:r>
      <w:r w:rsidR="0065601C" w:rsidRPr="0065601C">
        <w:rPr>
          <w:rFonts w:cs="Calibri"/>
          <w:b/>
          <w:bCs/>
          <w:color w:val="FF0000"/>
          <w:sz w:val="24"/>
          <w:szCs w:val="24"/>
        </w:rPr>
        <w:t>02.07.2021 r., d</w:t>
      </w:r>
      <w:r w:rsidRPr="0065601C">
        <w:rPr>
          <w:rFonts w:cs="Calibri"/>
          <w:b/>
          <w:color w:val="FF0000"/>
          <w:sz w:val="24"/>
          <w:szCs w:val="24"/>
        </w:rPr>
        <w:t>o</w:t>
      </w:r>
      <w:r w:rsidRPr="0065601C">
        <w:rPr>
          <w:rFonts w:cs="Calibri"/>
          <w:b/>
          <w:color w:val="FF0000"/>
          <w:spacing w:val="-3"/>
          <w:sz w:val="24"/>
          <w:szCs w:val="24"/>
        </w:rPr>
        <w:t xml:space="preserve"> </w:t>
      </w:r>
      <w:r w:rsidRPr="0065601C">
        <w:rPr>
          <w:rFonts w:cs="Calibri"/>
          <w:b/>
          <w:color w:val="FF0000"/>
          <w:spacing w:val="2"/>
          <w:sz w:val="24"/>
          <w:szCs w:val="24"/>
        </w:rPr>
        <w:t>g</w:t>
      </w:r>
      <w:r w:rsidRPr="0065601C">
        <w:rPr>
          <w:rFonts w:cs="Calibri"/>
          <w:b/>
          <w:color w:val="FF0000"/>
          <w:spacing w:val="-1"/>
          <w:sz w:val="24"/>
          <w:szCs w:val="24"/>
        </w:rPr>
        <w:t>o</w:t>
      </w:r>
      <w:r w:rsidRPr="0065601C">
        <w:rPr>
          <w:rFonts w:cs="Calibri"/>
          <w:b/>
          <w:color w:val="FF0000"/>
          <w:spacing w:val="1"/>
          <w:sz w:val="24"/>
          <w:szCs w:val="24"/>
        </w:rPr>
        <w:t>dz</w:t>
      </w:r>
      <w:r w:rsidRPr="0065601C">
        <w:rPr>
          <w:rFonts w:cs="Calibri"/>
          <w:b/>
          <w:color w:val="FF0000"/>
          <w:sz w:val="24"/>
          <w:szCs w:val="24"/>
        </w:rPr>
        <w:t>.</w:t>
      </w:r>
      <w:r w:rsidRPr="0065601C">
        <w:rPr>
          <w:rFonts w:cs="Calibri"/>
          <w:b/>
          <w:color w:val="FF0000"/>
          <w:spacing w:val="-6"/>
          <w:sz w:val="24"/>
          <w:szCs w:val="24"/>
        </w:rPr>
        <w:t xml:space="preserve"> </w:t>
      </w:r>
      <w:r w:rsidRPr="0065601C">
        <w:rPr>
          <w:rFonts w:cs="Calibri"/>
          <w:b/>
          <w:color w:val="FF0000"/>
          <w:spacing w:val="4"/>
          <w:sz w:val="24"/>
          <w:szCs w:val="24"/>
        </w:rPr>
        <w:t>1</w:t>
      </w:r>
      <w:r w:rsidRPr="0065601C">
        <w:rPr>
          <w:rFonts w:cs="Calibri"/>
          <w:b/>
          <w:color w:val="FF0000"/>
          <w:spacing w:val="1"/>
          <w:sz w:val="24"/>
          <w:szCs w:val="24"/>
        </w:rPr>
        <w:t>0</w:t>
      </w:r>
      <w:r w:rsidRPr="0065601C">
        <w:rPr>
          <w:rFonts w:cs="Calibri"/>
          <w:b/>
          <w:color w:val="FF0000"/>
          <w:sz w:val="24"/>
          <w:szCs w:val="24"/>
        </w:rPr>
        <w:t>.00.</w:t>
      </w:r>
    </w:p>
    <w:p w:rsidR="00117FAC" w:rsidRPr="007C730B" w:rsidRDefault="00DF4A94" w:rsidP="0065601C">
      <w:pPr>
        <w:pStyle w:val="Akapitzlist"/>
        <w:numPr>
          <w:ilvl w:val="3"/>
          <w:numId w:val="33"/>
        </w:numPr>
        <w:autoSpaceDE w:val="0"/>
        <w:autoSpaceDN w:val="0"/>
        <w:adjustRightInd w:val="0"/>
        <w:spacing w:after="0"/>
        <w:ind w:left="284" w:hanging="284"/>
        <w:jc w:val="both"/>
        <w:rPr>
          <w:rFonts w:cs="Calibri"/>
          <w:sz w:val="24"/>
          <w:szCs w:val="24"/>
        </w:rPr>
      </w:pPr>
      <w:r w:rsidRPr="007C730B">
        <w:rPr>
          <w:rFonts w:cs="Calibri"/>
          <w:sz w:val="24"/>
          <w:szCs w:val="24"/>
        </w:rPr>
        <w:t xml:space="preserve">Otwarcie ofert odbędzie się </w:t>
      </w:r>
      <w:r w:rsidR="007C730B" w:rsidRPr="0065601C">
        <w:rPr>
          <w:rFonts w:cs="Calibri"/>
          <w:b/>
          <w:bCs/>
          <w:color w:val="FF0000"/>
          <w:sz w:val="24"/>
          <w:szCs w:val="24"/>
        </w:rPr>
        <w:t xml:space="preserve">w dniu </w:t>
      </w:r>
      <w:r w:rsidR="0065601C" w:rsidRPr="0065601C">
        <w:rPr>
          <w:rFonts w:cs="Calibri"/>
          <w:b/>
          <w:bCs/>
          <w:color w:val="FF0000"/>
          <w:sz w:val="24"/>
          <w:szCs w:val="24"/>
        </w:rPr>
        <w:t>02</w:t>
      </w:r>
      <w:r w:rsidR="003E3DA7" w:rsidRPr="0065601C">
        <w:rPr>
          <w:rFonts w:cs="Calibri"/>
          <w:b/>
          <w:bCs/>
          <w:color w:val="FF0000"/>
          <w:sz w:val="24"/>
          <w:szCs w:val="24"/>
        </w:rPr>
        <w:t>.0</w:t>
      </w:r>
      <w:r w:rsidR="00B87926" w:rsidRPr="0065601C">
        <w:rPr>
          <w:rFonts w:cs="Calibri"/>
          <w:b/>
          <w:bCs/>
          <w:color w:val="FF0000"/>
          <w:sz w:val="24"/>
          <w:szCs w:val="24"/>
        </w:rPr>
        <w:t>7</w:t>
      </w:r>
      <w:r w:rsidR="003E3DA7" w:rsidRPr="0065601C">
        <w:rPr>
          <w:rFonts w:cs="Calibri"/>
          <w:b/>
          <w:bCs/>
          <w:color w:val="FF0000"/>
          <w:sz w:val="24"/>
          <w:szCs w:val="24"/>
        </w:rPr>
        <w:t>.2021 r., o godz. 10.05</w:t>
      </w:r>
      <w:r w:rsidRPr="0065601C">
        <w:rPr>
          <w:rFonts w:cs="Calibri"/>
          <w:b/>
          <w:bCs/>
          <w:color w:val="FF0000"/>
          <w:sz w:val="24"/>
          <w:szCs w:val="24"/>
        </w:rPr>
        <w:t>.</w:t>
      </w:r>
      <w:r w:rsidRPr="007C730B">
        <w:rPr>
          <w:rFonts w:cs="Calibri"/>
          <w:b/>
          <w:bCs/>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65601C">
        <w:rPr>
          <w:rFonts w:cs="Calibri"/>
          <w:b/>
          <w:bCs/>
          <w:sz w:val="24"/>
          <w:szCs w:val="24"/>
        </w:rPr>
        <w:t>do dnia 31</w:t>
      </w:r>
      <w:r w:rsidR="00241678" w:rsidRPr="007C730B">
        <w:rPr>
          <w:rFonts w:cs="Calibri"/>
          <w:b/>
          <w:bCs/>
          <w:sz w:val="24"/>
          <w:szCs w:val="24"/>
        </w:rPr>
        <w:t>.</w:t>
      </w:r>
      <w:r w:rsidR="0065601C">
        <w:rPr>
          <w:rFonts w:cs="Calibri"/>
          <w:b/>
          <w:bCs/>
          <w:sz w:val="24"/>
          <w:szCs w:val="24"/>
        </w:rPr>
        <w:t xml:space="preserve"> 07.</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66153A">
        <w:rPr>
          <w:rFonts w:ascii="Calibri" w:hAnsi="Calibri" w:cs="Calibri"/>
          <w:b w:val="0"/>
          <w:szCs w:val="24"/>
        </w:rPr>
        <w:t>4</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wyższą karę umowną niż 4</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66153A">
        <w:rPr>
          <w:rFonts w:ascii="Calibri" w:hAnsi="Calibri" w:cs="Calibri"/>
          <w:b w:val="0"/>
          <w:i/>
          <w:spacing w:val="-6"/>
          <w:szCs w:val="24"/>
        </w:rPr>
        <w:t>4</w:t>
      </w:r>
      <w:r w:rsidRPr="004224CA">
        <w:rPr>
          <w:rFonts w:ascii="Calibri" w:hAnsi="Calibri" w:cs="Calibri"/>
          <w:b w:val="0"/>
          <w:i/>
          <w:spacing w:val="-6"/>
          <w:szCs w:val="24"/>
        </w:rPr>
        <w:t>00,00 zł jako maksymalna, zgodna z żądaniem zamawiającego.</w:t>
      </w:r>
    </w:p>
    <w:p w:rsidR="001547BF" w:rsidRPr="004224CA" w:rsidRDefault="00296730" w:rsidP="00DC494A">
      <w:pPr>
        <w:pStyle w:val="WW-Tekstpodstawowywcity2"/>
        <w:numPr>
          <w:ilvl w:val="1"/>
          <w:numId w:val="23"/>
        </w:numPr>
        <w:spacing w:line="276" w:lineRule="auto"/>
        <w:rPr>
          <w:rFonts w:ascii="Calibri" w:hAnsi="Calibri" w:cs="Calibri"/>
          <w:b w:val="0"/>
          <w:szCs w:val="24"/>
        </w:rPr>
      </w:pPr>
      <w:r w:rsidRPr="004224CA">
        <w:rPr>
          <w:rFonts w:ascii="Calibri" w:hAnsi="Calibri" w:cs="Calibri"/>
          <w:szCs w:val="24"/>
        </w:rPr>
        <w:t xml:space="preserve">okres </w:t>
      </w:r>
      <w:r w:rsidR="00B26180">
        <w:rPr>
          <w:rFonts w:ascii="Calibri" w:hAnsi="Calibri" w:cs="Calibri"/>
          <w:szCs w:val="24"/>
        </w:rPr>
        <w:t xml:space="preserve">rękojmi i </w:t>
      </w:r>
      <w:r w:rsidR="00097CE3">
        <w:rPr>
          <w:rFonts w:ascii="Calibri" w:hAnsi="Calibri" w:cs="Calibri"/>
          <w:szCs w:val="24"/>
        </w:rPr>
        <w:t xml:space="preserve"> </w:t>
      </w:r>
      <w:r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„okres </w:t>
      </w:r>
      <w:r w:rsidR="00B26180">
        <w:rPr>
          <w:rFonts w:ascii="Calibri" w:hAnsi="Calibri" w:cs="Calibri"/>
          <w:b w:val="0"/>
          <w:spacing w:val="-4"/>
          <w:szCs w:val="24"/>
        </w:rPr>
        <w:t xml:space="preserve">rękojmi i </w:t>
      </w:r>
      <w:r w:rsidRPr="004224CA">
        <w:rPr>
          <w:rFonts w:ascii="Calibri" w:hAnsi="Calibri" w:cs="Calibri"/>
          <w:b w:val="0"/>
          <w:spacing w:val="-4"/>
          <w:szCs w:val="24"/>
        </w:rPr>
        <w:t>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 xml:space="preserve">okres </w:t>
      </w:r>
      <w:r w:rsidR="00B26180">
        <w:rPr>
          <w:rFonts w:cs="Calibri"/>
          <w:sz w:val="24"/>
          <w:szCs w:val="24"/>
        </w:rPr>
        <w:t xml:space="preserve">rękojmi i </w:t>
      </w:r>
      <w:r w:rsidRPr="004224CA">
        <w:rPr>
          <w:rFonts w:cs="Calibri"/>
          <w:sz w:val="24"/>
          <w:szCs w:val="24"/>
        </w:rPr>
        <w:t>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B26180">
        <w:rPr>
          <w:rFonts w:cs="Calibri"/>
          <w:sz w:val="24"/>
          <w:szCs w:val="24"/>
        </w:rPr>
        <w:t>------</w:t>
      </w:r>
      <w:r w:rsidRPr="004224CA">
        <w:rPr>
          <w:rFonts w:cs="Calibri"/>
          <w:sz w:val="24"/>
          <w:szCs w:val="24"/>
        </w:rPr>
        <w:t xml:space="preserve">-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lastRenderedPageBreak/>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Pr="004224CA">
        <w:rPr>
          <w:rFonts w:ascii="Calibri" w:hAnsi="Calibri" w:cs="Calibri"/>
          <w:b w:val="0"/>
          <w:i/>
          <w:szCs w:val="24"/>
        </w:rPr>
        <w:t>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lastRenderedPageBreak/>
        <w:t>Zawarta umowa będzie jawna i będzie podlegała udostępnianiu na zasadach określonych w przepisach o dostępie do informacji publicznej (art.139 ust.3 ustawy).</w:t>
      </w:r>
    </w:p>
    <w:p w:rsidR="003E7CAA" w:rsidRPr="002D62A4" w:rsidRDefault="003E7CAA" w:rsidP="002D62A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lastRenderedPageBreak/>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F07CC4">
      <w:pPr>
        <w:pStyle w:val="Akapitzlist"/>
        <w:numPr>
          <w:ilvl w:val="1"/>
          <w:numId w:val="36"/>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195900" w:rsidRPr="00195900" w:rsidRDefault="00B26180" w:rsidP="00195900">
      <w:pPr>
        <w:jc w:val="both"/>
        <w:rPr>
          <w:rFonts w:ascii="Calibri" w:hAnsi="Calibri" w:cs="Calibri"/>
          <w:b/>
          <w:sz w:val="24"/>
          <w:szCs w:val="24"/>
        </w:rPr>
      </w:pPr>
      <w:r>
        <w:rPr>
          <w:rFonts w:ascii="Calibri" w:hAnsi="Calibri" w:cs="Calibri"/>
          <w:b/>
          <w:sz w:val="24"/>
          <w:szCs w:val="24"/>
        </w:rPr>
        <w:t xml:space="preserve">71242000-6    </w:t>
      </w:r>
      <w:r w:rsidR="00195900" w:rsidRPr="00195900">
        <w:rPr>
          <w:rFonts w:ascii="Calibri" w:hAnsi="Calibri" w:cs="Calibri"/>
          <w:b/>
          <w:sz w:val="24"/>
          <w:szCs w:val="24"/>
        </w:rPr>
        <w:t>Przygotowan</w:t>
      </w:r>
      <w:r w:rsidR="00143C48">
        <w:rPr>
          <w:rFonts w:ascii="Calibri" w:hAnsi="Calibri" w:cs="Calibri"/>
          <w:b/>
          <w:sz w:val="24"/>
          <w:szCs w:val="24"/>
        </w:rPr>
        <w:t xml:space="preserve">ie przedsięwzięcia i projektu, </w:t>
      </w:r>
      <w:r w:rsidR="00195900" w:rsidRPr="00195900">
        <w:rPr>
          <w:rFonts w:ascii="Calibri" w:hAnsi="Calibri" w:cs="Calibri"/>
          <w:b/>
          <w:sz w:val="24"/>
          <w:szCs w:val="24"/>
        </w:rPr>
        <w:t>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7E704D" w:rsidRPr="00A90B0D" w:rsidRDefault="007E704D" w:rsidP="00377601">
      <w:pPr>
        <w:widowControl w:val="0"/>
        <w:autoSpaceDE w:val="0"/>
        <w:spacing w:line="276" w:lineRule="auto"/>
        <w:jc w:val="both"/>
        <w:rPr>
          <w:rFonts w:ascii="Calibri" w:hAnsi="Calibri" w:cs="Calibri"/>
          <w:bCs/>
          <w:sz w:val="24"/>
          <w:szCs w:val="24"/>
        </w:rPr>
      </w:pPr>
    </w:p>
    <w:p w:rsidR="005379C6" w:rsidRPr="00241678" w:rsidRDefault="005379C6" w:rsidP="000F5115">
      <w:pPr>
        <w:pStyle w:val="Akapitzlist"/>
        <w:numPr>
          <w:ilvl w:val="0"/>
          <w:numId w:val="22"/>
        </w:numPr>
        <w:jc w:val="both"/>
        <w:rPr>
          <w:rFonts w:cs="Calibri"/>
          <w:spacing w:val="-6"/>
          <w:sz w:val="24"/>
          <w:szCs w:val="24"/>
        </w:rPr>
      </w:pPr>
      <w:r w:rsidRPr="00241678">
        <w:rPr>
          <w:rFonts w:cs="Calibri"/>
          <w:spacing w:val="-6"/>
          <w:sz w:val="24"/>
          <w:szCs w:val="24"/>
        </w:rPr>
        <w:t>Przedmiot</w:t>
      </w:r>
      <w:r w:rsidR="00F43C74" w:rsidRPr="00241678">
        <w:rPr>
          <w:rFonts w:cs="Calibri"/>
          <w:spacing w:val="-6"/>
          <w:sz w:val="24"/>
          <w:szCs w:val="24"/>
        </w:rPr>
        <w:t>em</w:t>
      </w:r>
      <w:r w:rsidRPr="00241678">
        <w:rPr>
          <w:rFonts w:cs="Calibri"/>
          <w:spacing w:val="-6"/>
          <w:sz w:val="24"/>
          <w:szCs w:val="24"/>
        </w:rPr>
        <w:t xml:space="preserve"> zamówienia </w:t>
      </w:r>
      <w:r w:rsidR="00A62F02" w:rsidRPr="00241678">
        <w:rPr>
          <w:rFonts w:cs="Calibri"/>
          <w:spacing w:val="-6"/>
          <w:sz w:val="24"/>
          <w:szCs w:val="24"/>
        </w:rPr>
        <w:t>jest</w:t>
      </w:r>
      <w:r w:rsidR="00783DA7" w:rsidRPr="00241678">
        <w:rPr>
          <w:rFonts w:cs="Calibri"/>
          <w:spacing w:val="-6"/>
          <w:sz w:val="24"/>
          <w:szCs w:val="24"/>
        </w:rPr>
        <w:t xml:space="preserve"> opracowanie kompletnej dokumentacji projektowo-kosztorysowej remontu budynków mieszkalnych wielorodzinnych przy al. Powstańców Wiel</w:t>
      </w:r>
      <w:r w:rsidR="00B26180">
        <w:rPr>
          <w:rFonts w:cs="Calibri"/>
          <w:spacing w:val="-6"/>
          <w:sz w:val="24"/>
          <w:szCs w:val="24"/>
        </w:rPr>
        <w:t xml:space="preserve">kopolskich </w:t>
      </w:r>
      <w:r w:rsidR="00783DA7" w:rsidRPr="00241678">
        <w:rPr>
          <w:rFonts w:cs="Calibri"/>
          <w:spacing w:val="-6"/>
          <w:sz w:val="24"/>
          <w:szCs w:val="24"/>
        </w:rPr>
        <w:t xml:space="preserve"> 37, 38 i 39 w Szczecinie, wraz z uzyskaniem niezbędnych uzgodnień i pozwoleń, oraz sprawowaniem nadzoru autorskiego w odniesieniu do zaprojektowanych robót.</w:t>
      </w:r>
    </w:p>
    <w:p w:rsidR="00EF5CB1" w:rsidRPr="00241678" w:rsidRDefault="00143C48" w:rsidP="00143C48">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Dokumentacja musi być opracowana osobno na każdy budynek i powinna obejmować następujący zakres robót do wykonania:</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dachu i kominów,</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 xml:space="preserve">remont ścian zewnętrznych wraz z ich </w:t>
      </w:r>
      <w:proofErr w:type="spellStart"/>
      <w:r w:rsidRPr="00241678">
        <w:rPr>
          <w:rFonts w:cs="Calibri"/>
          <w:bCs/>
          <w:spacing w:val="-6"/>
          <w:sz w:val="24"/>
          <w:szCs w:val="24"/>
        </w:rPr>
        <w:t>dociepleniem</w:t>
      </w:r>
      <w:proofErr w:type="spellEnd"/>
      <w:r w:rsidRPr="00241678">
        <w:rPr>
          <w:rFonts w:cs="Calibri"/>
          <w:bCs/>
          <w:spacing w:val="-6"/>
          <w:sz w:val="24"/>
          <w:szCs w:val="24"/>
        </w:rPr>
        <w:t>,</w:t>
      </w:r>
    </w:p>
    <w:p w:rsidR="00143C48" w:rsidRPr="00241678" w:rsidRDefault="00143C48"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ostatnią kondygnacją mieszkalną,</w:t>
      </w:r>
    </w:p>
    <w:p w:rsidR="00143C48" w:rsidRPr="00241678" w:rsidRDefault="0020264F"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piwnicami,</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lastRenderedPageBreak/>
        <w:t>wymiana stolarki okiennej i drzwiowej w nieruchomości wspólnej,</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wymiana stolarki okiennej w lokalach mieszkalnych,</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izolacji przeciwwilgociowej pionowej i poziomej ścian zewnętrznych poniżej terenu,</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klatki schodowej,</w:t>
      </w:r>
    </w:p>
    <w:p w:rsidR="00397726" w:rsidRPr="00241678" w:rsidRDefault="0020264F" w:rsidP="00397726">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instalacji elektrycznej w nieruchomości wspólnej.</w:t>
      </w:r>
    </w:p>
    <w:p w:rsidR="00AE38C0" w:rsidRPr="00B26180" w:rsidRDefault="00397726" w:rsidP="00B26180">
      <w:pPr>
        <w:pStyle w:val="Akapitzlist"/>
        <w:numPr>
          <w:ilvl w:val="0"/>
          <w:numId w:val="6"/>
        </w:numPr>
        <w:jc w:val="both"/>
        <w:rPr>
          <w:rFonts w:cs="Calibri"/>
          <w:spacing w:val="-6"/>
          <w:sz w:val="24"/>
          <w:szCs w:val="24"/>
        </w:rPr>
      </w:pPr>
      <w:r w:rsidRPr="00241678">
        <w:rPr>
          <w:rFonts w:cs="Calibri"/>
          <w:spacing w:val="-6"/>
          <w:sz w:val="24"/>
          <w:szCs w:val="24"/>
        </w:rPr>
        <w:t>Dane dotyczące budynków:</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37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152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293,70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1917,50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38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232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499,64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3030,71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jc w:val="both"/>
        <w:rPr>
          <w:rFonts w:cs="Calibri"/>
          <w:spacing w:val="-6"/>
          <w:sz w:val="24"/>
          <w:szCs w:val="24"/>
        </w:rPr>
      </w:pPr>
      <w:r w:rsidRPr="00241678">
        <w:rPr>
          <w:rFonts w:cs="Calibri"/>
          <w:b/>
          <w:spacing w:val="-6"/>
          <w:sz w:val="24"/>
          <w:szCs w:val="24"/>
        </w:rPr>
        <w:t xml:space="preserve">al. Powstańców Wielkopolskich 39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zabudowy 236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użytkowa 586,50 m</w:t>
      </w:r>
      <w:r w:rsidRPr="00241678">
        <w:rPr>
          <w:rFonts w:cs="Calibri"/>
          <w:spacing w:val="-6"/>
          <w:sz w:val="24"/>
          <w:szCs w:val="24"/>
          <w:vertAlign w:val="superscript"/>
        </w:rPr>
        <w:t xml:space="preserve">2 </w:t>
      </w:r>
      <w:r w:rsidRPr="00241678">
        <w:rPr>
          <w:rFonts w:cs="Calibri"/>
          <w:spacing w:val="-6"/>
          <w:sz w:val="24"/>
          <w:szCs w:val="24"/>
        </w:rPr>
        <w:t>,</w:t>
      </w:r>
    </w:p>
    <w:p w:rsidR="00397726" w:rsidRPr="00241678" w:rsidRDefault="00AE38C0" w:rsidP="00D12DD1">
      <w:pPr>
        <w:pStyle w:val="Akapitzlist"/>
        <w:numPr>
          <w:ilvl w:val="2"/>
          <w:numId w:val="6"/>
        </w:numPr>
        <w:jc w:val="both"/>
        <w:rPr>
          <w:rFonts w:cs="Calibri"/>
          <w:spacing w:val="-6"/>
          <w:sz w:val="24"/>
          <w:szCs w:val="24"/>
        </w:rPr>
      </w:pPr>
      <w:r w:rsidRPr="00241678">
        <w:rPr>
          <w:rFonts w:cs="Calibri"/>
          <w:spacing w:val="-6"/>
          <w:sz w:val="24"/>
          <w:szCs w:val="24"/>
        </w:rPr>
        <w:t>kubatura 2718,29 m</w:t>
      </w:r>
      <w:r w:rsidRPr="00241678">
        <w:rPr>
          <w:rFonts w:cs="Calibri"/>
          <w:spacing w:val="-6"/>
          <w:sz w:val="24"/>
          <w:szCs w:val="24"/>
          <w:vertAlign w:val="superscript"/>
        </w:rPr>
        <w:t>3</w:t>
      </w:r>
      <w:r w:rsidRPr="00241678">
        <w:rPr>
          <w:rFonts w:cs="Calibri"/>
          <w:spacing w:val="-6"/>
          <w:sz w:val="24"/>
          <w:szCs w:val="24"/>
        </w:rPr>
        <w:t xml:space="preserve"> .</w:t>
      </w:r>
    </w:p>
    <w:p w:rsidR="00DA3AFA" w:rsidRPr="00241678" w:rsidRDefault="00FE6B64"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 xml:space="preserve">Przedmiot zamówienia dla każdego budynku </w:t>
      </w:r>
      <w:r w:rsidR="0006619B" w:rsidRPr="00241678">
        <w:rPr>
          <w:rFonts w:ascii="Calibri" w:hAnsi="Calibri" w:cs="Calibri"/>
          <w:bCs/>
          <w:spacing w:val="-4"/>
          <w:sz w:val="24"/>
          <w:szCs w:val="24"/>
        </w:rPr>
        <w:t xml:space="preserve">mieszkalnego </w:t>
      </w:r>
      <w:r w:rsidRPr="00241678">
        <w:rPr>
          <w:rFonts w:ascii="Calibri" w:hAnsi="Calibri" w:cs="Calibri"/>
          <w:bCs/>
          <w:spacing w:val="-4"/>
          <w:sz w:val="24"/>
          <w:szCs w:val="24"/>
        </w:rPr>
        <w:t>oddzielnie obejmuje:</w:t>
      </w:r>
    </w:p>
    <w:p w:rsidR="00C77715" w:rsidRPr="00241678" w:rsidRDefault="00B50FB0" w:rsidP="00C77715">
      <w:pPr>
        <w:pStyle w:val="Akapitzlist"/>
        <w:numPr>
          <w:ilvl w:val="1"/>
          <w:numId w:val="6"/>
        </w:numPr>
        <w:suppressAutoHyphens/>
        <w:jc w:val="both"/>
        <w:rPr>
          <w:rFonts w:cs="Calibri"/>
          <w:bCs/>
          <w:spacing w:val="-4"/>
          <w:sz w:val="24"/>
          <w:szCs w:val="24"/>
        </w:rPr>
      </w:pPr>
      <w:r>
        <w:rPr>
          <w:rFonts w:cs="Calibri"/>
          <w:bCs/>
          <w:spacing w:val="-4"/>
          <w:sz w:val="24"/>
          <w:szCs w:val="24"/>
        </w:rPr>
        <w:t xml:space="preserve">kompletne </w:t>
      </w:r>
      <w:r w:rsidR="00C77715" w:rsidRPr="00241678">
        <w:rPr>
          <w:rFonts w:cs="Calibri"/>
          <w:bCs/>
          <w:spacing w:val="-4"/>
          <w:sz w:val="24"/>
          <w:szCs w:val="24"/>
        </w:rPr>
        <w:t>projekt</w:t>
      </w:r>
      <w:r>
        <w:rPr>
          <w:rFonts w:cs="Calibri"/>
          <w:bCs/>
          <w:spacing w:val="-4"/>
          <w:sz w:val="24"/>
          <w:szCs w:val="24"/>
        </w:rPr>
        <w:t>y</w:t>
      </w:r>
      <w:r w:rsidR="00C77715" w:rsidRPr="00241678">
        <w:rPr>
          <w:rFonts w:cs="Calibri"/>
          <w:bCs/>
          <w:spacing w:val="-4"/>
          <w:sz w:val="24"/>
          <w:szCs w:val="24"/>
        </w:rPr>
        <w:t xml:space="preserve"> budowlan</w:t>
      </w:r>
      <w:r>
        <w:rPr>
          <w:rFonts w:cs="Calibri"/>
          <w:bCs/>
          <w:spacing w:val="-4"/>
          <w:sz w:val="24"/>
          <w:szCs w:val="24"/>
        </w:rPr>
        <w:t>e</w:t>
      </w:r>
      <w:r w:rsidR="00C77715" w:rsidRPr="00241678">
        <w:rPr>
          <w:rFonts w:cs="Calibri"/>
          <w:bCs/>
          <w:spacing w:val="-4"/>
          <w:sz w:val="24"/>
          <w:szCs w:val="24"/>
        </w:rPr>
        <w:t xml:space="preserve"> – 4 egzemplarze,</w:t>
      </w:r>
    </w:p>
    <w:p w:rsidR="00C77715" w:rsidRDefault="00B50FB0" w:rsidP="00C77715">
      <w:pPr>
        <w:pStyle w:val="Akapitzlist"/>
        <w:numPr>
          <w:ilvl w:val="1"/>
          <w:numId w:val="6"/>
        </w:numPr>
        <w:suppressAutoHyphens/>
        <w:jc w:val="both"/>
        <w:rPr>
          <w:rFonts w:cs="Calibri"/>
          <w:bCs/>
          <w:spacing w:val="-4"/>
          <w:sz w:val="24"/>
          <w:szCs w:val="24"/>
        </w:rPr>
      </w:pPr>
      <w:r>
        <w:rPr>
          <w:rFonts w:cs="Calibri"/>
          <w:bCs/>
          <w:spacing w:val="-4"/>
          <w:sz w:val="24"/>
          <w:szCs w:val="24"/>
        </w:rPr>
        <w:t xml:space="preserve">kompletne </w:t>
      </w:r>
      <w:r w:rsidR="00C77715" w:rsidRPr="00241678">
        <w:rPr>
          <w:rFonts w:cs="Calibri"/>
          <w:bCs/>
          <w:spacing w:val="-4"/>
          <w:sz w:val="24"/>
          <w:szCs w:val="24"/>
        </w:rPr>
        <w:t>projekt</w:t>
      </w:r>
      <w:r>
        <w:rPr>
          <w:rFonts w:cs="Calibri"/>
          <w:bCs/>
          <w:spacing w:val="-4"/>
          <w:sz w:val="24"/>
          <w:szCs w:val="24"/>
        </w:rPr>
        <w:t xml:space="preserve">y </w:t>
      </w:r>
      <w:r w:rsidR="00C77715" w:rsidRPr="00241678">
        <w:rPr>
          <w:rFonts w:cs="Calibri"/>
          <w:bCs/>
          <w:spacing w:val="-4"/>
          <w:sz w:val="24"/>
          <w:szCs w:val="24"/>
        </w:rPr>
        <w:t xml:space="preserve"> wykonawcz</w:t>
      </w:r>
      <w:r>
        <w:rPr>
          <w:rFonts w:cs="Calibri"/>
          <w:bCs/>
          <w:spacing w:val="-4"/>
          <w:sz w:val="24"/>
          <w:szCs w:val="24"/>
        </w:rPr>
        <w:t>e</w:t>
      </w:r>
      <w:r w:rsidR="00C77715" w:rsidRPr="00241678">
        <w:rPr>
          <w:rFonts w:cs="Calibri"/>
          <w:bCs/>
          <w:spacing w:val="-4"/>
          <w:sz w:val="24"/>
          <w:szCs w:val="24"/>
        </w:rPr>
        <w:t xml:space="preserve"> – 4 egzemplarze,</w:t>
      </w:r>
    </w:p>
    <w:p w:rsidR="00477B78" w:rsidRPr="00241678" w:rsidRDefault="00477B78" w:rsidP="00C77715">
      <w:pPr>
        <w:pStyle w:val="Akapitzlist"/>
        <w:numPr>
          <w:ilvl w:val="1"/>
          <w:numId w:val="6"/>
        </w:numPr>
        <w:suppressAutoHyphens/>
        <w:jc w:val="both"/>
        <w:rPr>
          <w:rFonts w:cs="Calibri"/>
          <w:bCs/>
          <w:spacing w:val="-4"/>
          <w:sz w:val="24"/>
          <w:szCs w:val="24"/>
        </w:rPr>
      </w:pPr>
      <w:r>
        <w:rPr>
          <w:rFonts w:cs="Calibri"/>
          <w:bCs/>
          <w:spacing w:val="-4"/>
          <w:sz w:val="24"/>
          <w:szCs w:val="24"/>
        </w:rPr>
        <w:t>kosztorys</w:t>
      </w:r>
      <w:r w:rsidR="00B50FB0">
        <w:rPr>
          <w:rFonts w:cs="Calibri"/>
          <w:bCs/>
          <w:spacing w:val="-4"/>
          <w:sz w:val="24"/>
          <w:szCs w:val="24"/>
        </w:rPr>
        <w:t>y</w:t>
      </w:r>
      <w:r>
        <w:rPr>
          <w:rFonts w:cs="Calibri"/>
          <w:bCs/>
          <w:spacing w:val="-4"/>
          <w:sz w:val="24"/>
          <w:szCs w:val="24"/>
        </w:rPr>
        <w:t xml:space="preserve"> inwestorski</w:t>
      </w:r>
      <w:r w:rsidR="00B50FB0">
        <w:rPr>
          <w:rFonts w:cs="Calibri"/>
          <w:bCs/>
          <w:spacing w:val="-4"/>
          <w:sz w:val="24"/>
          <w:szCs w:val="24"/>
        </w:rPr>
        <w:t xml:space="preserve">e szczegółowe opracowane na podstawie </w:t>
      </w:r>
      <w:proofErr w:type="spellStart"/>
      <w:r w:rsidR="00B50FB0">
        <w:rPr>
          <w:rFonts w:cs="Calibri"/>
          <w:bCs/>
          <w:spacing w:val="-4"/>
          <w:sz w:val="24"/>
          <w:szCs w:val="24"/>
        </w:rPr>
        <w:t>KNR-ów</w:t>
      </w:r>
      <w:proofErr w:type="spellEnd"/>
      <w:r w:rsidR="00B50FB0">
        <w:rPr>
          <w:rFonts w:cs="Calibri"/>
          <w:bCs/>
          <w:spacing w:val="-4"/>
          <w:sz w:val="24"/>
          <w:szCs w:val="24"/>
        </w:rPr>
        <w:t xml:space="preserve"> </w:t>
      </w:r>
      <w:r>
        <w:rPr>
          <w:rFonts w:cs="Calibri"/>
          <w:bCs/>
          <w:spacing w:val="-4"/>
          <w:sz w:val="24"/>
          <w:szCs w:val="24"/>
        </w:rPr>
        <w:t xml:space="preserve"> – 4 egzemplarze</w:t>
      </w:r>
      <w:r w:rsidR="00B50FB0">
        <w:rPr>
          <w:rFonts w:cs="Calibri"/>
          <w:bCs/>
          <w:spacing w:val="-4"/>
          <w:sz w:val="24"/>
          <w:szCs w:val="24"/>
        </w:rPr>
        <w:t>,</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w:t>
      </w:r>
      <w:r w:rsidR="00B50FB0">
        <w:rPr>
          <w:rFonts w:cs="Calibri"/>
          <w:bCs/>
          <w:spacing w:val="-4"/>
          <w:sz w:val="24"/>
          <w:szCs w:val="24"/>
        </w:rPr>
        <w:t>y</w:t>
      </w:r>
      <w:r w:rsidRPr="00241678">
        <w:rPr>
          <w:rFonts w:cs="Calibri"/>
          <w:bCs/>
          <w:spacing w:val="-4"/>
          <w:sz w:val="24"/>
          <w:szCs w:val="24"/>
        </w:rPr>
        <w:t xml:space="preserve"> robót – 4 egzemplarze,</w:t>
      </w:r>
    </w:p>
    <w:p w:rsidR="00C77715" w:rsidRPr="00241678" w:rsidRDefault="00B50FB0" w:rsidP="00C77715">
      <w:pPr>
        <w:pStyle w:val="Akapitzlist"/>
        <w:numPr>
          <w:ilvl w:val="1"/>
          <w:numId w:val="6"/>
        </w:numPr>
        <w:suppressAutoHyphens/>
        <w:jc w:val="both"/>
        <w:rPr>
          <w:rFonts w:cs="Calibri"/>
          <w:bCs/>
          <w:spacing w:val="-4"/>
          <w:sz w:val="24"/>
          <w:szCs w:val="24"/>
        </w:rPr>
      </w:pPr>
      <w:r>
        <w:rPr>
          <w:rFonts w:cs="Calibri"/>
          <w:bCs/>
          <w:spacing w:val="-4"/>
          <w:sz w:val="24"/>
          <w:szCs w:val="24"/>
        </w:rPr>
        <w:t>specyfikacje</w:t>
      </w:r>
      <w:r w:rsidR="00C77715" w:rsidRPr="00241678">
        <w:rPr>
          <w:rFonts w:cs="Calibri"/>
          <w:bCs/>
          <w:spacing w:val="-4"/>
          <w:sz w:val="24"/>
          <w:szCs w:val="24"/>
        </w:rPr>
        <w:t xml:space="preserve"> techn</w:t>
      </w:r>
      <w:r>
        <w:rPr>
          <w:rFonts w:cs="Calibri"/>
          <w:bCs/>
          <w:spacing w:val="-4"/>
          <w:sz w:val="24"/>
          <w:szCs w:val="24"/>
        </w:rPr>
        <w:t>iczne</w:t>
      </w:r>
      <w:r w:rsidR="0006619B" w:rsidRPr="00241678">
        <w:rPr>
          <w:rFonts w:cs="Calibri"/>
          <w:bCs/>
          <w:spacing w:val="-4"/>
          <w:sz w:val="24"/>
          <w:szCs w:val="24"/>
        </w:rPr>
        <w:t xml:space="preserve"> wykonania i odbioru robót – 4 egzemplarze,</w:t>
      </w:r>
    </w:p>
    <w:p w:rsidR="00CF7574" w:rsidRPr="00241678" w:rsidRDefault="00CF7574"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informacja dotycząca bezpieczeństwa i ochrony zdrowia,</w:t>
      </w:r>
    </w:p>
    <w:p w:rsidR="0006619B" w:rsidRPr="00241678" w:rsidRDefault="00B50FB0" w:rsidP="00C77715">
      <w:pPr>
        <w:pStyle w:val="Akapitzlist"/>
        <w:numPr>
          <w:ilvl w:val="1"/>
          <w:numId w:val="6"/>
        </w:numPr>
        <w:suppressAutoHyphens/>
        <w:jc w:val="both"/>
        <w:rPr>
          <w:rFonts w:cs="Calibri"/>
          <w:bCs/>
          <w:spacing w:val="-4"/>
          <w:sz w:val="24"/>
          <w:szCs w:val="24"/>
        </w:rPr>
      </w:pPr>
      <w:r>
        <w:rPr>
          <w:rFonts w:cs="Calibri"/>
          <w:bCs/>
          <w:spacing w:val="-4"/>
          <w:sz w:val="24"/>
          <w:szCs w:val="24"/>
        </w:rPr>
        <w:t xml:space="preserve">decyzja o </w:t>
      </w:r>
      <w:r w:rsidR="0006619B" w:rsidRPr="00241678">
        <w:rPr>
          <w:rFonts w:cs="Calibri"/>
          <w:bCs/>
          <w:spacing w:val="-4"/>
          <w:sz w:val="24"/>
          <w:szCs w:val="24"/>
        </w:rPr>
        <w:t>pozw</w:t>
      </w:r>
      <w:r>
        <w:rPr>
          <w:rFonts w:cs="Calibri"/>
          <w:bCs/>
          <w:spacing w:val="-4"/>
          <w:sz w:val="24"/>
          <w:szCs w:val="24"/>
        </w:rPr>
        <w:t>oleniu</w:t>
      </w:r>
      <w:r w:rsidR="00E521DA" w:rsidRPr="00241678">
        <w:rPr>
          <w:rFonts w:cs="Calibri"/>
          <w:bCs/>
          <w:spacing w:val="-4"/>
          <w:sz w:val="24"/>
          <w:szCs w:val="24"/>
        </w:rPr>
        <w:t xml:space="preserve"> na budowę, lub zaświadczenie o zgłoszeniu</w:t>
      </w:r>
      <w:r w:rsidR="0006619B" w:rsidRPr="00241678">
        <w:rPr>
          <w:rFonts w:cs="Calibri"/>
          <w:bCs/>
          <w:spacing w:val="-4"/>
          <w:sz w:val="24"/>
          <w:szCs w:val="24"/>
        </w:rPr>
        <w:t xml:space="preserve"> robót budowlanych nie wy</w:t>
      </w:r>
      <w:r w:rsidR="00E521DA" w:rsidRPr="00241678">
        <w:rPr>
          <w:rFonts w:cs="Calibri"/>
          <w:bCs/>
          <w:spacing w:val="-4"/>
          <w:sz w:val="24"/>
          <w:szCs w:val="24"/>
        </w:rPr>
        <w:t>magających pozwolenia na budowę</w:t>
      </w:r>
      <w:r>
        <w:rPr>
          <w:rFonts w:cs="Calibri"/>
          <w:bCs/>
          <w:spacing w:val="-4"/>
          <w:sz w:val="24"/>
          <w:szCs w:val="24"/>
        </w:rPr>
        <w:t xml:space="preserve"> przyjętym bez sprzeciwu,</w:t>
      </w:r>
    </w:p>
    <w:p w:rsidR="00BF6DDF" w:rsidRPr="00241678" w:rsidRDefault="00BF6DDF"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Dokumentację będącą przedmiotem zamówienia należy sporządzić w formie:</w:t>
      </w:r>
    </w:p>
    <w:p w:rsidR="00C17ACD" w:rsidRPr="00241678" w:rsidRDefault="00BF6DDF" w:rsidP="00BF6DDF">
      <w:pPr>
        <w:pStyle w:val="Akapitzlist"/>
        <w:numPr>
          <w:ilvl w:val="1"/>
          <w:numId w:val="6"/>
        </w:numPr>
        <w:suppressAutoHyphens/>
        <w:jc w:val="both"/>
        <w:rPr>
          <w:rFonts w:cs="Calibri"/>
          <w:bCs/>
          <w:spacing w:val="-4"/>
          <w:sz w:val="24"/>
          <w:szCs w:val="24"/>
        </w:rPr>
      </w:pPr>
      <w:r w:rsidRPr="00241678">
        <w:rPr>
          <w:rFonts w:cs="Calibri"/>
          <w:bCs/>
          <w:spacing w:val="-4"/>
          <w:sz w:val="24"/>
          <w:szCs w:val="24"/>
        </w:rPr>
        <w:t>drukowanej</w:t>
      </w:r>
      <w:r w:rsidR="00C17ACD" w:rsidRPr="00241678">
        <w:rPr>
          <w:rFonts w:cs="Calibri"/>
          <w:bCs/>
          <w:spacing w:val="-4"/>
          <w:sz w:val="24"/>
          <w:szCs w:val="24"/>
        </w:rPr>
        <w:t>/papierow</w:t>
      </w:r>
      <w:r w:rsidR="00477B78">
        <w:rPr>
          <w:rFonts w:cs="Calibri"/>
          <w:bCs/>
          <w:spacing w:val="-4"/>
          <w:sz w:val="24"/>
          <w:szCs w:val="24"/>
        </w:rPr>
        <w:t>ej, w ilości określonej w ust. 4</w:t>
      </w:r>
      <w:r w:rsidR="00C17ACD" w:rsidRPr="00241678">
        <w:rPr>
          <w:rFonts w:cs="Calibri"/>
          <w:bCs/>
          <w:spacing w:val="-4"/>
          <w:sz w:val="24"/>
          <w:szCs w:val="24"/>
        </w:rPr>
        <w:t xml:space="preserve"> (dla każdego budynku oddzielnie),</w:t>
      </w:r>
    </w:p>
    <w:p w:rsidR="00A85583" w:rsidRPr="00241678" w:rsidRDefault="00C17ACD"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elektronicznej, ww. dokumentów na płytach CD z dokładnie opisanymi plikami (n</w:t>
      </w:r>
      <w:r w:rsidR="007A69A9" w:rsidRPr="00241678">
        <w:rPr>
          <w:rFonts w:cs="Calibri"/>
          <w:bCs/>
          <w:spacing w:val="-4"/>
          <w:sz w:val="24"/>
          <w:szCs w:val="24"/>
        </w:rPr>
        <w:t>azwy zgodne z wersją papierową) – 2 szt.,</w:t>
      </w:r>
    </w:p>
    <w:p w:rsidR="00A85583"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lastRenderedPageBreak/>
        <w:t>każdy dokument w wersji elektronicznej musi stanow</w:t>
      </w:r>
      <w:r w:rsidR="00A85583" w:rsidRPr="00241678">
        <w:rPr>
          <w:rFonts w:cs="Calibri"/>
          <w:bCs/>
          <w:spacing w:val="-4"/>
          <w:sz w:val="24"/>
          <w:szCs w:val="24"/>
        </w:rPr>
        <w:t xml:space="preserve">ić jeden plik w formacie </w:t>
      </w:r>
      <w:proofErr w:type="spellStart"/>
      <w:r w:rsidR="00A85583" w:rsidRPr="00241678">
        <w:rPr>
          <w:rFonts w:cs="Calibri"/>
          <w:bCs/>
          <w:spacing w:val="-4"/>
          <w:sz w:val="24"/>
          <w:szCs w:val="24"/>
        </w:rPr>
        <w:t>„pd</w:t>
      </w:r>
      <w:proofErr w:type="spellEnd"/>
      <w:r w:rsidR="00A85583" w:rsidRPr="00241678">
        <w:rPr>
          <w:rFonts w:cs="Calibri"/>
          <w:bCs/>
          <w:spacing w:val="-4"/>
          <w:sz w:val="24"/>
          <w:szCs w:val="24"/>
        </w:rPr>
        <w:t>f”,</w:t>
      </w:r>
    </w:p>
    <w:p w:rsidR="00BF6DDF"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kosztorysy inwestorskie w wersji elektronicznej muszą być w formacie „</w:t>
      </w:r>
      <w:proofErr w:type="spellStart"/>
      <w:r w:rsidRPr="00241678">
        <w:rPr>
          <w:rFonts w:cs="Calibri"/>
          <w:bCs/>
          <w:spacing w:val="-4"/>
          <w:sz w:val="24"/>
          <w:szCs w:val="24"/>
        </w:rPr>
        <w:t>kst</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r w:rsidR="00BF6DDF" w:rsidRPr="00241678">
        <w:rPr>
          <w:rFonts w:cs="Calibri"/>
          <w:bCs/>
          <w:spacing w:val="-4"/>
          <w:sz w:val="24"/>
          <w:szCs w:val="24"/>
        </w:rPr>
        <w:t xml:space="preserve"> </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przedmiary robót w wersji elektronicznej muszą być w formacie „</w:t>
      </w:r>
      <w:proofErr w:type="spellStart"/>
      <w:r w:rsidRPr="00241678">
        <w:rPr>
          <w:rFonts w:cs="Calibri"/>
          <w:bCs/>
          <w:spacing w:val="-4"/>
          <w:sz w:val="24"/>
          <w:szCs w:val="24"/>
        </w:rPr>
        <w:t>prd</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części opisowe projektów i specyfikacja techniczna wykonania i odbioru robót w wersji elektronicznej muszą być w formacie „</w:t>
      </w:r>
      <w:proofErr w:type="spellStart"/>
      <w:r w:rsidRPr="00241678">
        <w:rPr>
          <w:rFonts w:cs="Calibri"/>
          <w:bCs/>
          <w:spacing w:val="-4"/>
          <w:sz w:val="24"/>
          <w:szCs w:val="24"/>
        </w:rPr>
        <w:t>doc</w:t>
      </w:r>
      <w:proofErr w:type="spellEnd"/>
      <w:r w:rsidRPr="00241678">
        <w:rPr>
          <w:rFonts w:cs="Calibri"/>
          <w:bCs/>
          <w:spacing w:val="-4"/>
          <w:sz w:val="24"/>
          <w:szCs w:val="24"/>
        </w:rPr>
        <w:t>”.</w:t>
      </w:r>
    </w:p>
    <w:p w:rsidR="008E2812" w:rsidRPr="00241678" w:rsidRDefault="008E2812" w:rsidP="008E2812">
      <w:pPr>
        <w:pStyle w:val="Akapitzlist"/>
        <w:suppressAutoHyphens/>
        <w:ind w:left="792"/>
        <w:jc w:val="both"/>
        <w:rPr>
          <w:rFonts w:cs="Calibri"/>
          <w:bCs/>
          <w:spacing w:val="-4"/>
          <w:sz w:val="24"/>
          <w:szCs w:val="24"/>
        </w:rPr>
      </w:pPr>
      <w:r w:rsidRPr="00241678">
        <w:rPr>
          <w:rFonts w:cs="Calibri"/>
          <w:bCs/>
          <w:spacing w:val="-4"/>
          <w:sz w:val="24"/>
          <w:szCs w:val="24"/>
        </w:rPr>
        <w:t>- całość dokumentacji  odpowiednio w plikach umożliwiających edycję : (</w:t>
      </w:r>
      <w:proofErr w:type="spellStart"/>
      <w:r w:rsidRPr="00241678">
        <w:rPr>
          <w:rFonts w:cs="Calibri"/>
          <w:bCs/>
          <w:spacing w:val="-4"/>
          <w:sz w:val="24"/>
          <w:szCs w:val="24"/>
        </w:rPr>
        <w:t>ath</w:t>
      </w:r>
      <w:proofErr w:type="spellEnd"/>
      <w:r w:rsidRPr="00241678">
        <w:rPr>
          <w:rFonts w:cs="Calibri"/>
          <w:bCs/>
          <w:spacing w:val="-4"/>
          <w:sz w:val="24"/>
          <w:szCs w:val="24"/>
        </w:rPr>
        <w:t xml:space="preserve">, </w:t>
      </w:r>
      <w:proofErr w:type="spellStart"/>
      <w:r w:rsidRPr="00241678">
        <w:rPr>
          <w:rFonts w:cs="Calibri"/>
          <w:bCs/>
          <w:spacing w:val="-4"/>
          <w:sz w:val="24"/>
          <w:szCs w:val="24"/>
        </w:rPr>
        <w:t>dwg</w:t>
      </w:r>
      <w:proofErr w:type="spellEnd"/>
      <w:r w:rsidRPr="00241678">
        <w:rPr>
          <w:rFonts w:cs="Calibri"/>
          <w:bCs/>
          <w:spacing w:val="-4"/>
          <w:sz w:val="24"/>
          <w:szCs w:val="24"/>
        </w:rPr>
        <w:t xml:space="preserve">, </w:t>
      </w:r>
      <w:proofErr w:type="spellStart"/>
      <w:r w:rsidRPr="00241678">
        <w:rPr>
          <w:rFonts w:cs="Calibri"/>
          <w:bCs/>
          <w:spacing w:val="-4"/>
          <w:sz w:val="24"/>
          <w:szCs w:val="24"/>
        </w:rPr>
        <w:t>doc</w:t>
      </w:r>
      <w:proofErr w:type="spellEnd"/>
      <w:r w:rsidRPr="00241678">
        <w:rPr>
          <w:rFonts w:cs="Calibri"/>
          <w:bCs/>
          <w:spacing w:val="-4"/>
          <w:sz w:val="24"/>
          <w:szCs w:val="24"/>
        </w:rPr>
        <w:t xml:space="preserve">, </w:t>
      </w:r>
      <w:proofErr w:type="spellStart"/>
      <w:r w:rsidRPr="00241678">
        <w:rPr>
          <w:rFonts w:cs="Calibri"/>
          <w:bCs/>
          <w:spacing w:val="-4"/>
          <w:sz w:val="24"/>
          <w:szCs w:val="24"/>
        </w:rPr>
        <w:t>xls</w:t>
      </w:r>
      <w:proofErr w:type="spellEnd"/>
      <w:r w:rsidRPr="00241678">
        <w:rPr>
          <w:rFonts w:cs="Calibri"/>
          <w:bCs/>
          <w:spacing w:val="-4"/>
          <w:sz w:val="24"/>
          <w:szCs w:val="24"/>
        </w:rPr>
        <w:t>), dla każdego budynku oddzielnie.</w:t>
      </w:r>
    </w:p>
    <w:p w:rsidR="001D31EA" w:rsidRPr="00EB3C00" w:rsidRDefault="001D31EA" w:rsidP="00DC494A">
      <w:pPr>
        <w:numPr>
          <w:ilvl w:val="0"/>
          <w:numId w:val="6"/>
        </w:numPr>
        <w:suppressAutoHyphens/>
        <w:spacing w:line="276" w:lineRule="auto"/>
        <w:jc w:val="both"/>
        <w:rPr>
          <w:rFonts w:ascii="Calibri" w:hAnsi="Calibri" w:cs="Calibri"/>
          <w:bCs/>
          <w:spacing w:val="-4"/>
          <w:sz w:val="24"/>
          <w:szCs w:val="24"/>
        </w:rPr>
      </w:pPr>
      <w:r w:rsidRPr="00EB3C00">
        <w:rPr>
          <w:rFonts w:ascii="Calibri" w:hAnsi="Calibri" w:cs="Calibri"/>
          <w:bCs/>
          <w:spacing w:val="-4"/>
          <w:sz w:val="24"/>
          <w:szCs w:val="24"/>
        </w:rPr>
        <w:t xml:space="preserve">Wykonawca przed złożeniem projektu o pozwolenie na budowę lub zgłoszeniem robót </w:t>
      </w:r>
      <w:r w:rsidR="00214326" w:rsidRPr="00EB3C00">
        <w:rPr>
          <w:rFonts w:ascii="Calibri" w:hAnsi="Calibri" w:cs="Calibri"/>
          <w:bCs/>
          <w:spacing w:val="-4"/>
          <w:sz w:val="24"/>
          <w:szCs w:val="24"/>
        </w:rPr>
        <w:t>nie  wymagających pozwolenia na budowę, obowiązkowo będzie uzgadniał wszystkie etapy projektu i jego rozwiązania z zamawiającym.</w:t>
      </w:r>
    </w:p>
    <w:p w:rsidR="00017F6B" w:rsidRPr="00017F6B" w:rsidRDefault="00017F6B" w:rsidP="00017F6B">
      <w:pPr>
        <w:numPr>
          <w:ilvl w:val="0"/>
          <w:numId w:val="6"/>
        </w:numPr>
        <w:autoSpaceDE w:val="0"/>
        <w:autoSpaceDN w:val="0"/>
        <w:adjustRightInd w:val="0"/>
        <w:jc w:val="both"/>
        <w:rPr>
          <w:rFonts w:ascii="Calibri" w:hAnsi="Calibri" w:cs="Calibri"/>
          <w:sz w:val="24"/>
          <w:szCs w:val="24"/>
        </w:rPr>
      </w:pPr>
      <w:r w:rsidRPr="00017F6B">
        <w:rPr>
          <w:rFonts w:ascii="Calibri" w:hAnsi="Calibri" w:cs="Calibri"/>
          <w:sz w:val="24"/>
          <w:szCs w:val="24"/>
        </w:rPr>
        <w:t>Ponadto, Wykonawca zobowiązany jest do:</w:t>
      </w:r>
    </w:p>
    <w:p w:rsidR="00017F6B" w:rsidRPr="00017F6B" w:rsidRDefault="00017F6B" w:rsidP="00017F6B">
      <w:pPr>
        <w:numPr>
          <w:ilvl w:val="1"/>
          <w:numId w:val="6"/>
        </w:numPr>
        <w:autoSpaceDE w:val="0"/>
        <w:autoSpaceDN w:val="0"/>
        <w:adjustRightInd w:val="0"/>
        <w:jc w:val="both"/>
        <w:rPr>
          <w:rFonts w:ascii="Calibri" w:hAnsi="Calibri" w:cs="Calibri"/>
          <w:sz w:val="24"/>
          <w:szCs w:val="24"/>
        </w:rPr>
      </w:pPr>
      <w:r w:rsidRPr="00017F6B">
        <w:rPr>
          <w:rFonts w:ascii="Calibri" w:hAnsi="Calibri" w:cs="Calibri"/>
          <w:sz w:val="24"/>
          <w:szCs w:val="24"/>
        </w:rPr>
        <w:t>uzyskania wszystkich niezbędnych danych do projektowania, opinii, uzgodnień i sprawdzeń rozwiązań projektowych w zakresie wynikającym z przepisów;</w:t>
      </w:r>
    </w:p>
    <w:p w:rsidR="00017F6B" w:rsidRPr="00017F6B" w:rsidRDefault="00017F6B" w:rsidP="00017F6B">
      <w:pPr>
        <w:numPr>
          <w:ilvl w:val="1"/>
          <w:numId w:val="6"/>
        </w:numPr>
        <w:autoSpaceDE w:val="0"/>
        <w:autoSpaceDN w:val="0"/>
        <w:adjustRightInd w:val="0"/>
        <w:jc w:val="both"/>
        <w:rPr>
          <w:rFonts w:ascii="Calibri" w:hAnsi="Calibri" w:cs="Calibri"/>
          <w:spacing w:val="-2"/>
          <w:sz w:val="24"/>
          <w:szCs w:val="24"/>
        </w:rPr>
      </w:pPr>
      <w:r w:rsidRPr="00017F6B">
        <w:rPr>
          <w:rFonts w:ascii="Calibri" w:hAnsi="Calibri" w:cs="Calibri"/>
          <w:spacing w:val="-2"/>
          <w:sz w:val="24"/>
          <w:szCs w:val="24"/>
        </w:rPr>
        <w:t>uzyskania decyzji pozwolenia na budowę lub zgłoszenia robót budowlanych nie wymagających pozwolenia na budowę przyjętym bez sprzeciwu, a ponadto wykonania niezbędnych dla projektu pomiarów i badań;</w:t>
      </w:r>
    </w:p>
    <w:p w:rsidR="00017F6B" w:rsidRPr="00017F6B" w:rsidRDefault="00017F6B" w:rsidP="00017F6B">
      <w:pPr>
        <w:numPr>
          <w:ilvl w:val="1"/>
          <w:numId w:val="6"/>
        </w:numPr>
        <w:autoSpaceDE w:val="0"/>
        <w:autoSpaceDN w:val="0"/>
        <w:adjustRightInd w:val="0"/>
        <w:jc w:val="both"/>
        <w:rPr>
          <w:rFonts w:ascii="Calibri" w:hAnsi="Calibri" w:cs="Calibri"/>
          <w:sz w:val="24"/>
          <w:szCs w:val="24"/>
        </w:rPr>
      </w:pPr>
      <w:r w:rsidRPr="00017F6B">
        <w:rPr>
          <w:rFonts w:ascii="Calibri" w:hAnsi="Calibri" w:cs="Calibri"/>
          <w:sz w:val="24"/>
          <w:szCs w:val="24"/>
        </w:rPr>
        <w:t xml:space="preserve">opracowania dokumentacji na podstawie wizji odkrywek elementów zakrytych; </w:t>
      </w:r>
    </w:p>
    <w:p w:rsidR="00017F6B" w:rsidRPr="00017F6B" w:rsidRDefault="00017F6B" w:rsidP="00017F6B">
      <w:pPr>
        <w:numPr>
          <w:ilvl w:val="1"/>
          <w:numId w:val="6"/>
        </w:numPr>
        <w:autoSpaceDE w:val="0"/>
        <w:autoSpaceDN w:val="0"/>
        <w:adjustRightInd w:val="0"/>
        <w:jc w:val="both"/>
        <w:rPr>
          <w:rFonts w:ascii="Calibri" w:hAnsi="Calibri" w:cs="Calibri"/>
          <w:sz w:val="24"/>
          <w:szCs w:val="24"/>
        </w:rPr>
      </w:pPr>
      <w:r w:rsidRPr="00017F6B">
        <w:rPr>
          <w:rFonts w:ascii="Calibri" w:hAnsi="Calibri" w:cs="Calibri"/>
          <w:spacing w:val="-2"/>
          <w:sz w:val="24"/>
          <w:szCs w:val="24"/>
        </w:rPr>
        <w:t>dokonania wizji budynków, w celu zapoznania się ze stanem faktycznym;</w:t>
      </w:r>
    </w:p>
    <w:p w:rsidR="00017F6B" w:rsidRPr="00017F6B" w:rsidRDefault="00017F6B" w:rsidP="00017F6B">
      <w:pPr>
        <w:numPr>
          <w:ilvl w:val="1"/>
          <w:numId w:val="6"/>
        </w:numPr>
        <w:autoSpaceDE w:val="0"/>
        <w:autoSpaceDN w:val="0"/>
        <w:adjustRightInd w:val="0"/>
        <w:jc w:val="both"/>
        <w:rPr>
          <w:rFonts w:ascii="Calibri" w:hAnsi="Calibri" w:cs="Calibri"/>
          <w:spacing w:val="-6"/>
          <w:sz w:val="24"/>
          <w:szCs w:val="24"/>
        </w:rPr>
      </w:pPr>
      <w:r w:rsidRPr="00017F6B">
        <w:rPr>
          <w:rFonts w:ascii="Calibri" w:hAnsi="Calibri" w:cs="Calibri"/>
          <w:spacing w:val="-6"/>
          <w:sz w:val="24"/>
          <w:szCs w:val="24"/>
        </w:rPr>
        <w:t>konsultacji roboczych i uzgodnień dokumentacji z przedstawicielem Zamawiającego określonym w § 18 ust. 1 umowy na każdym etapie wykonywania dokumentacji wraz z uzyskaniem na przedłożonych dokumentach jego pisemnej akceptacji;</w:t>
      </w:r>
    </w:p>
    <w:p w:rsidR="00017F6B" w:rsidRPr="00017F6B" w:rsidRDefault="00017F6B" w:rsidP="00017F6B">
      <w:pPr>
        <w:numPr>
          <w:ilvl w:val="1"/>
          <w:numId w:val="6"/>
        </w:numPr>
        <w:autoSpaceDE w:val="0"/>
        <w:autoSpaceDN w:val="0"/>
        <w:adjustRightInd w:val="0"/>
        <w:jc w:val="both"/>
        <w:rPr>
          <w:rFonts w:ascii="Calibri" w:hAnsi="Calibri" w:cs="Calibri"/>
          <w:b/>
          <w:sz w:val="24"/>
          <w:szCs w:val="24"/>
        </w:rPr>
      </w:pPr>
      <w:r w:rsidRPr="00017F6B">
        <w:rPr>
          <w:rFonts w:ascii="Calibri" w:hAnsi="Calibri" w:cs="Calibri"/>
          <w:b/>
          <w:sz w:val="24"/>
          <w:szCs w:val="24"/>
        </w:rPr>
        <w:t>uzgodnienia szczegółowego zakresu robót budowlanych objętych projektem                     z przedstawicielem Zamawiającego;</w:t>
      </w:r>
    </w:p>
    <w:p w:rsidR="00017F6B" w:rsidRPr="00017F6B" w:rsidRDefault="00017F6B" w:rsidP="00017F6B">
      <w:pPr>
        <w:numPr>
          <w:ilvl w:val="1"/>
          <w:numId w:val="6"/>
        </w:numPr>
        <w:autoSpaceDE w:val="0"/>
        <w:autoSpaceDN w:val="0"/>
        <w:adjustRightInd w:val="0"/>
        <w:jc w:val="both"/>
        <w:rPr>
          <w:rFonts w:ascii="Calibri" w:hAnsi="Calibri" w:cs="Calibri"/>
          <w:sz w:val="24"/>
          <w:szCs w:val="24"/>
        </w:rPr>
      </w:pPr>
      <w:r w:rsidRPr="00017F6B">
        <w:rPr>
          <w:rFonts w:ascii="Calibri" w:hAnsi="Calibri" w:cs="Calibri"/>
          <w:sz w:val="24"/>
          <w:szCs w:val="24"/>
        </w:rPr>
        <w:t>dokonania uzgodnień bhp, higieniczno – sanitarnych i przeciwpożarowych;</w:t>
      </w:r>
    </w:p>
    <w:p w:rsidR="00017F6B" w:rsidRPr="00017F6B" w:rsidRDefault="00E73140" w:rsidP="00017F6B">
      <w:pPr>
        <w:numPr>
          <w:ilvl w:val="1"/>
          <w:numId w:val="6"/>
        </w:numPr>
        <w:suppressAutoHyphens/>
        <w:autoSpaceDE w:val="0"/>
        <w:autoSpaceDN w:val="0"/>
        <w:adjustRightInd w:val="0"/>
        <w:jc w:val="both"/>
        <w:rPr>
          <w:rFonts w:ascii="Calibri" w:hAnsi="Calibri" w:cs="Calibri"/>
          <w:spacing w:val="-4"/>
          <w:sz w:val="24"/>
          <w:szCs w:val="24"/>
        </w:rPr>
      </w:pPr>
      <w:r>
        <w:rPr>
          <w:rFonts w:ascii="Calibri" w:hAnsi="Calibri" w:cs="Calibri"/>
          <w:spacing w:val="-4"/>
          <w:sz w:val="24"/>
          <w:szCs w:val="24"/>
        </w:rPr>
        <w:t>uczestniczenie</w:t>
      </w:r>
      <w:r w:rsidR="00017F6B" w:rsidRPr="00017F6B">
        <w:rPr>
          <w:rFonts w:ascii="Calibri" w:hAnsi="Calibri" w:cs="Calibri"/>
          <w:spacing w:val="-4"/>
          <w:sz w:val="24"/>
          <w:szCs w:val="24"/>
        </w:rPr>
        <w:t xml:space="preserve"> w spotkaniach przedstawiciela Zamawiającego oraz Wykonawcy w celu uściślenia przyjętych rozwiązań projektowych, standardów wykończenia oraz wyposażenia.</w:t>
      </w:r>
      <w:r w:rsidR="00017F6B" w:rsidRPr="00017F6B">
        <w:rPr>
          <w:rFonts w:ascii="Calibri" w:hAnsi="Calibri" w:cs="Calibri"/>
          <w:b/>
          <w:spacing w:val="-4"/>
          <w:sz w:val="24"/>
          <w:szCs w:val="24"/>
        </w:rPr>
        <w:t xml:space="preserve"> </w:t>
      </w:r>
      <w:r w:rsidR="00017F6B" w:rsidRPr="00017F6B">
        <w:rPr>
          <w:rFonts w:ascii="Calibri" w:hAnsi="Calibri" w:cs="Calibri"/>
          <w:spacing w:val="-4"/>
          <w:sz w:val="24"/>
          <w:szCs w:val="24"/>
        </w:rPr>
        <w:t>Spotkania dotyczące uzgodnień organizowane będą na wniosek jednej ze stron z trzydniowym wyprzedzeniem, w siedzibie Zamawiającego przy ul. Jagiellońskiej 34C. Wszelkie uzgodnienia podczas roboczych spotkań muszą być dokonane w formie pisemnej tj. dokumentu podpisanego przez strony;</w:t>
      </w:r>
    </w:p>
    <w:p w:rsidR="00017F6B" w:rsidRPr="00017F6B" w:rsidRDefault="00017F6B" w:rsidP="00017F6B">
      <w:pPr>
        <w:numPr>
          <w:ilvl w:val="1"/>
          <w:numId w:val="6"/>
        </w:numPr>
        <w:suppressAutoHyphens/>
        <w:autoSpaceDE w:val="0"/>
        <w:autoSpaceDN w:val="0"/>
        <w:adjustRightInd w:val="0"/>
        <w:jc w:val="both"/>
        <w:rPr>
          <w:rFonts w:ascii="Calibri" w:hAnsi="Calibri" w:cs="Calibri"/>
          <w:spacing w:val="-4"/>
          <w:sz w:val="24"/>
          <w:szCs w:val="24"/>
        </w:rPr>
      </w:pPr>
      <w:r w:rsidRPr="00017F6B">
        <w:rPr>
          <w:rFonts w:ascii="Calibri" w:hAnsi="Calibri" w:cs="Calibri"/>
          <w:spacing w:val="-4"/>
          <w:sz w:val="24"/>
          <w:szCs w:val="24"/>
        </w:rPr>
        <w:t>przekazania przedstawicielowi Zamawiającego potwierdzenia złożenia wniosku o wydanie pozwolenia na budowę, lub potwierdzenia zgłoszenia robót budowlanych nie wymagających pozwolenia na budowę;</w:t>
      </w:r>
    </w:p>
    <w:p w:rsidR="00017F6B" w:rsidRPr="00017F6B" w:rsidRDefault="00017F6B" w:rsidP="00017F6B">
      <w:pPr>
        <w:numPr>
          <w:ilvl w:val="1"/>
          <w:numId w:val="6"/>
        </w:numPr>
        <w:suppressAutoHyphens/>
        <w:autoSpaceDE w:val="0"/>
        <w:autoSpaceDN w:val="0"/>
        <w:adjustRightInd w:val="0"/>
        <w:jc w:val="both"/>
        <w:rPr>
          <w:rFonts w:ascii="Calibri" w:hAnsi="Calibri" w:cs="Calibri"/>
          <w:spacing w:val="-4"/>
          <w:sz w:val="24"/>
          <w:szCs w:val="24"/>
        </w:rPr>
      </w:pPr>
      <w:r w:rsidRPr="00017F6B">
        <w:rPr>
          <w:rFonts w:ascii="Calibri" w:hAnsi="Calibri" w:cs="Calibri"/>
          <w:spacing w:val="-4"/>
          <w:sz w:val="24"/>
          <w:szCs w:val="24"/>
        </w:rPr>
        <w:t xml:space="preserve">opracowania projektów niezbędnych do uzyskania decyzji o pozwoleniu na budowę lub zaświadczenia o zgłoszeniu robót budowlanych nie wymagających pozwolenia na budowę przyjętym bez sprzeciwu wraz z wystąpieniem i uzyskaniem decyzji o pozwoleniu na budowę lub zaświadczenia o zgłoszeniu robót budowlanych nie wymagających pozwolenia na budowę przyjętym bez sprzeciwu w imieniu Zamawiającego </w:t>
      </w:r>
    </w:p>
    <w:p w:rsidR="00B50FB0" w:rsidRPr="00B50FB0" w:rsidRDefault="00B50FB0" w:rsidP="00B50FB0">
      <w:pPr>
        <w:suppressAutoHyphens/>
        <w:spacing w:line="276" w:lineRule="auto"/>
        <w:ind w:left="360"/>
        <w:jc w:val="both"/>
        <w:rPr>
          <w:rFonts w:ascii="Calibri" w:hAnsi="Calibri" w:cs="Calibri"/>
          <w:bCs/>
          <w:color w:val="FF0000"/>
          <w:spacing w:val="-4"/>
          <w:sz w:val="24"/>
          <w:szCs w:val="24"/>
        </w:rPr>
      </w:pPr>
    </w:p>
    <w:p w:rsidR="00E73140" w:rsidRDefault="00E73140"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lastRenderedPageBreak/>
        <w:t>Egzemplarze dokumentacji potrzebne do przeprowadzenia wszelkich uzgodnień, uzyskania pozwoleń, itp. wykonawca sporządza i dostarcza odpowiednio we własnym zakresie oraz na własny koszt.</w:t>
      </w:r>
    </w:p>
    <w:p w:rsidR="00E73140" w:rsidRPr="00EB3C00" w:rsidRDefault="00E73140" w:rsidP="00EB3C00">
      <w:pPr>
        <w:numPr>
          <w:ilvl w:val="0"/>
          <w:numId w:val="6"/>
        </w:numPr>
        <w:suppressAutoHyphens/>
        <w:autoSpaceDE w:val="0"/>
        <w:autoSpaceDN w:val="0"/>
        <w:adjustRightInd w:val="0"/>
        <w:jc w:val="both"/>
        <w:rPr>
          <w:rFonts w:ascii="Calibri" w:hAnsi="Calibri" w:cs="Calibri"/>
          <w:bCs/>
          <w:spacing w:val="-6"/>
          <w:sz w:val="24"/>
          <w:szCs w:val="24"/>
        </w:rPr>
      </w:pPr>
      <w:r w:rsidRPr="00E73140">
        <w:rPr>
          <w:rFonts w:ascii="Calibri" w:hAnsi="Calibri" w:cs="Calibri"/>
          <w:spacing w:val="-6"/>
          <w:sz w:val="24"/>
          <w:szCs w:val="24"/>
        </w:rPr>
        <w:t>Wykonawca jest zobowiązany w wykonywanej dokumentacji projektowo-kosztorysowej do opisania rozwiązań technologicznych i zastosowanych materiałów w sposób jednoznaczny i wyczerpujący za pomocą dostatecznie dokładnych i zrozumiałych określeń</w:t>
      </w:r>
      <w:r w:rsidRPr="00E73140">
        <w:rPr>
          <w:rFonts w:ascii="Calibri" w:hAnsi="Calibri" w:cs="Calibri"/>
          <w:b/>
          <w:spacing w:val="-6"/>
          <w:sz w:val="24"/>
          <w:szCs w:val="24"/>
        </w:rPr>
        <w:t>. W dokumentacji</w:t>
      </w:r>
      <w:r w:rsidRPr="00E73140">
        <w:rPr>
          <w:rFonts w:ascii="Calibri" w:hAnsi="Calibri" w:cs="Calibri"/>
          <w:spacing w:val="-6"/>
          <w:sz w:val="24"/>
          <w:szCs w:val="24"/>
        </w:rPr>
        <w:t xml:space="preserve"> </w:t>
      </w:r>
      <w:r w:rsidRPr="00E73140">
        <w:rPr>
          <w:rFonts w:ascii="Calibri" w:hAnsi="Calibri" w:cs="Calibri"/>
          <w:b/>
          <w:spacing w:val="-6"/>
          <w:sz w:val="24"/>
          <w:szCs w:val="24"/>
        </w:rPr>
        <w:t>projektowo-kosztorysowej nie mogą być wskazane nazwy własne, znaki towarowe, patenty lub pochodzenie, sformułowania, źródła lub szczególne procesy,  które charakteryzują produkty lub usługi dostarczane przez konkretnego Wykonawcę</w:t>
      </w:r>
      <w:r w:rsidRPr="00E73140">
        <w:rPr>
          <w:rFonts w:ascii="Calibri" w:hAnsi="Calibri" w:cs="Calibri"/>
          <w:spacing w:val="-6"/>
          <w:sz w:val="24"/>
          <w:szCs w:val="24"/>
        </w:rPr>
        <w:t>,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p>
    <w:p w:rsidR="00EB3C00" w:rsidRDefault="00EB3C00"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Uwarunkowania dodatkowe:</w:t>
      </w:r>
    </w:p>
    <w:p w:rsidR="00EB3C00" w:rsidRPr="001645FB" w:rsidRDefault="00EB3C00" w:rsidP="00EB3C00">
      <w:pPr>
        <w:numPr>
          <w:ilvl w:val="1"/>
          <w:numId w:val="6"/>
        </w:numPr>
        <w:suppressAutoHyphens/>
        <w:autoSpaceDE w:val="0"/>
        <w:autoSpaceDN w:val="0"/>
        <w:adjustRightInd w:val="0"/>
        <w:spacing w:line="276" w:lineRule="auto"/>
        <w:ind w:left="426" w:hanging="426"/>
        <w:jc w:val="both"/>
        <w:rPr>
          <w:rFonts w:ascii="Calibri" w:hAnsi="Calibri" w:cs="Calibri"/>
          <w:bCs/>
          <w:sz w:val="24"/>
          <w:szCs w:val="24"/>
        </w:rPr>
      </w:pPr>
      <w:r>
        <w:rPr>
          <w:rFonts w:cs="Calibri"/>
          <w:bCs/>
          <w:spacing w:val="-4"/>
          <w:sz w:val="24"/>
          <w:szCs w:val="24"/>
        </w:rPr>
        <w:t xml:space="preserve">dokumentacja </w:t>
      </w:r>
      <w:r w:rsidRPr="001645FB">
        <w:rPr>
          <w:rFonts w:ascii="Calibri" w:hAnsi="Calibri" w:cs="Calibri"/>
          <w:sz w:val="24"/>
          <w:szCs w:val="24"/>
        </w:rPr>
        <w:t>projektowo-kosztorysowa musi być kompletna z punktu widzenia celu, któremu ma służyć tj. musi być opracowana z należytą starannością, zapewnić wymagane funkcje, gwarantować uzyskanie decyzji o pozwoleniu na budowę lub zaświadczenie o zgłoszeniu robót budowlanych nie wymagających pozwolenia na budowę przyjętym bez sprzeciwu</w:t>
      </w:r>
      <w:r w:rsidRPr="001645FB">
        <w:rPr>
          <w:rFonts w:ascii="Calibri" w:hAnsi="Calibri" w:cs="Calibri"/>
          <w:spacing w:val="-6"/>
          <w:sz w:val="24"/>
          <w:szCs w:val="24"/>
        </w:rPr>
        <w:t xml:space="preserve"> </w:t>
      </w:r>
      <w:r w:rsidRPr="001645FB">
        <w:rPr>
          <w:rFonts w:ascii="Calibri" w:hAnsi="Calibri" w:cs="Calibri"/>
          <w:sz w:val="24"/>
          <w:szCs w:val="24"/>
        </w:rPr>
        <w:t xml:space="preserve">oraz prawidłową wycenę i realizację robót budowlanych. Dokumentacje winny być opracowane w sposób eliminujący ryzyko wystąpienia robót dodatkowych wynikających z jej niekompletności lub nieprawidłowości. </w:t>
      </w:r>
    </w:p>
    <w:p w:rsidR="00EB3C00" w:rsidRPr="001645FB" w:rsidRDefault="00EB3C00" w:rsidP="00EB3C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dokumentacja projektowo-kosztorysowa będąca przedmiotem umowy będzie stanowić opis przedmiotu zamówienia do postępowań o udzielenie zamówienia publicznego na wykonanie robót budowlanych w oparciu o ustawę Prawo zamówień publicznych, niezbędnych do użytkowania przedmiotu zamówienia zgodnie z przeznaczeniem, w związku z tym jej kompletność, zawartość i szczegółowość powinna być wystarczająca dla tego celu. Dokumentacje projektowe należy opracować zatem zgodnie z zapisami art. 99 i 101 ustawy Prawo zamówień publicznych oraz zapisami Rozporządzenia Ministra Infrastruktury z dnia 2 września 2004 roku w sprawie szczegółowego zakresu i formy dokumentacji projektowej, specyfikacji technicznych wykonania i odbioru robót budowlanych. Szczegółowe specyfikacje techniczne powinny służyć do precyzyjnego opisania przedmiotu zamówienia na wykonanie robót budowlanych;</w:t>
      </w:r>
    </w:p>
    <w:p w:rsidR="00EB3C00" w:rsidRPr="001645FB" w:rsidRDefault="00EB3C00" w:rsidP="00EB3C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 xml:space="preserve">dokumentacja projektowo-kosztorysowa winna być wykonana w języku polskim, zgodnie z obowiązującymi przepisami prawa, normami technicznymi, zasadami wiedzy technicznej </w:t>
      </w:r>
      <w:r w:rsidRPr="001645FB">
        <w:rPr>
          <w:rFonts w:ascii="Calibri" w:hAnsi="Calibri" w:cs="Calibri"/>
        </w:rPr>
        <w:lastRenderedPageBreak/>
        <w:t>oraz powinna być opatrzona klauzulą o kompletności i przydatności z punktu widzenia celu, któremu ma służyć;</w:t>
      </w:r>
    </w:p>
    <w:p w:rsidR="00EB3C00" w:rsidRPr="001645FB" w:rsidRDefault="00EB3C00" w:rsidP="00EB3C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informacje zawarte w dokumentacji w zakresie technologii wykonania robót, doboru materiałów i urządzeń powinny określać przedmiot umowy w sposób zgodny z ustawą Prawo zamówień publicznych oraz przepisami wykonawczymi do tej ustawy w sposób zapewniający zachowanie uczciwej konkurencji.</w:t>
      </w:r>
    </w:p>
    <w:p w:rsidR="00EB3C00" w:rsidRPr="00EB3C00" w:rsidRDefault="00EB3C00" w:rsidP="00EB3C00">
      <w:pPr>
        <w:pStyle w:val="Akapitzlist"/>
        <w:numPr>
          <w:ilvl w:val="1"/>
          <w:numId w:val="6"/>
        </w:numPr>
        <w:suppressAutoHyphens/>
        <w:jc w:val="both"/>
        <w:rPr>
          <w:rFonts w:cs="Calibri"/>
          <w:bCs/>
          <w:spacing w:val="-4"/>
          <w:sz w:val="24"/>
          <w:szCs w:val="24"/>
        </w:rPr>
      </w:pPr>
    </w:p>
    <w:p w:rsidR="001547BF" w:rsidRPr="00241678" w:rsidRDefault="00AF18DD"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Podstawa opracowania dokumentacji projektowo-kosztorysowej:</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7 lipca</w:t>
      </w:r>
      <w:r w:rsidR="00391C26">
        <w:rPr>
          <w:rFonts w:cs="Calibri"/>
          <w:bCs/>
          <w:spacing w:val="-4"/>
          <w:sz w:val="24"/>
          <w:szCs w:val="24"/>
        </w:rPr>
        <w:t xml:space="preserve"> 1994 r.</w:t>
      </w:r>
      <w:r w:rsidRPr="00241678">
        <w:rPr>
          <w:rFonts w:cs="Calibri"/>
          <w:bCs/>
          <w:spacing w:val="-4"/>
          <w:sz w:val="24"/>
          <w:szCs w:val="24"/>
        </w:rPr>
        <w:t xml:space="preserve"> Prawo budowlane (Dz.</w:t>
      </w:r>
      <w:r w:rsidR="00C6571D" w:rsidRPr="00241678">
        <w:rPr>
          <w:rFonts w:cs="Calibri"/>
          <w:bCs/>
          <w:spacing w:val="-4"/>
          <w:sz w:val="24"/>
          <w:szCs w:val="24"/>
        </w:rPr>
        <w:t xml:space="preserve"> </w:t>
      </w:r>
      <w:r w:rsidRPr="00241678">
        <w:rPr>
          <w:rFonts w:cs="Calibri"/>
          <w:bCs/>
          <w:spacing w:val="-4"/>
          <w:sz w:val="24"/>
          <w:szCs w:val="24"/>
        </w:rPr>
        <w:t>U. z 2020 r. poz. 1333 ze zmianami),</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11.09.2019 r. Prawo zamówień publicznych (Dz. U. z 2019 r. poz. 2019 ze zmianami),</w:t>
      </w:r>
    </w:p>
    <w:p w:rsidR="00BE1A14" w:rsidRPr="00241678" w:rsidRDefault="00BE1A14" w:rsidP="00AF18DD">
      <w:pPr>
        <w:pStyle w:val="Akapitzlist"/>
        <w:numPr>
          <w:ilvl w:val="1"/>
          <w:numId w:val="6"/>
        </w:numPr>
        <w:suppressAutoHyphens/>
        <w:jc w:val="both"/>
        <w:rPr>
          <w:rFonts w:cs="Calibri"/>
          <w:bCs/>
          <w:spacing w:val="-6"/>
          <w:sz w:val="24"/>
          <w:szCs w:val="24"/>
        </w:rPr>
      </w:pPr>
      <w:r w:rsidRPr="00241678">
        <w:rPr>
          <w:rFonts w:cs="Calibri"/>
          <w:bCs/>
          <w:spacing w:val="-6"/>
          <w:sz w:val="24"/>
          <w:szCs w:val="24"/>
        </w:rPr>
        <w:t>ustawa z dnia 16 kwietnia 2004 r. o wyb</w:t>
      </w:r>
      <w:r w:rsidR="00BF51D7" w:rsidRPr="00241678">
        <w:rPr>
          <w:rFonts w:cs="Calibri"/>
          <w:bCs/>
          <w:spacing w:val="-6"/>
          <w:sz w:val="24"/>
          <w:szCs w:val="24"/>
        </w:rPr>
        <w:t>orach budowlanych (Dz. U. z 2020</w:t>
      </w:r>
      <w:r w:rsidRPr="00241678">
        <w:rPr>
          <w:rFonts w:cs="Calibri"/>
          <w:bCs/>
          <w:spacing w:val="-6"/>
          <w:sz w:val="24"/>
          <w:szCs w:val="24"/>
        </w:rPr>
        <w:t xml:space="preserve"> r., poz. </w:t>
      </w:r>
      <w:r w:rsidR="00BF51D7" w:rsidRPr="00241678">
        <w:rPr>
          <w:rFonts w:cs="Calibri"/>
          <w:bCs/>
          <w:spacing w:val="-6"/>
          <w:sz w:val="24"/>
          <w:szCs w:val="24"/>
        </w:rPr>
        <w:t>215</w:t>
      </w:r>
      <w:r w:rsidRPr="00241678">
        <w:rPr>
          <w:rFonts w:cs="Calibri"/>
          <w:bCs/>
          <w:spacing w:val="-6"/>
          <w:sz w:val="24"/>
          <w:szCs w:val="24"/>
        </w:rPr>
        <w:t xml:space="preserve"> ze zmianami),</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24 sierpnia 1991 r. o ochronie przeciwpożarowej (Dz. U. z 20</w:t>
      </w:r>
      <w:r w:rsidR="00BF51D7" w:rsidRPr="00241678">
        <w:rPr>
          <w:rFonts w:cs="Calibri"/>
          <w:bCs/>
          <w:spacing w:val="-4"/>
          <w:sz w:val="24"/>
          <w:szCs w:val="24"/>
        </w:rPr>
        <w:t>20 r., poz. 9</w:t>
      </w:r>
      <w:r w:rsidRPr="00241678">
        <w:rPr>
          <w:rFonts w:cs="Calibri"/>
          <w:bCs/>
          <w:spacing w:val="-4"/>
          <w:sz w:val="24"/>
          <w:szCs w:val="24"/>
        </w:rPr>
        <w:t>6</w:t>
      </w:r>
      <w:r w:rsidR="00BF51D7" w:rsidRPr="00241678">
        <w:rPr>
          <w:rFonts w:cs="Calibri"/>
          <w:bCs/>
          <w:spacing w:val="-4"/>
          <w:sz w:val="24"/>
          <w:szCs w:val="24"/>
        </w:rPr>
        <w:t>1</w:t>
      </w:r>
      <w:r w:rsidRPr="00241678">
        <w:rPr>
          <w:rFonts w:cs="Calibri"/>
          <w:bCs/>
          <w:spacing w:val="-4"/>
          <w:sz w:val="24"/>
          <w:szCs w:val="24"/>
        </w:rPr>
        <w:t xml:space="preserve"> ze zmianami), </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 xml:space="preserve">ustawa </w:t>
      </w:r>
      <w:r w:rsidR="006F0696" w:rsidRPr="00241678">
        <w:rPr>
          <w:rFonts w:cs="Calibri"/>
          <w:bCs/>
          <w:spacing w:val="-4"/>
          <w:sz w:val="24"/>
          <w:szCs w:val="24"/>
        </w:rPr>
        <w:t>z dnia 21 grudnia 2000 r. o d</w:t>
      </w:r>
      <w:r w:rsidR="00BF51D7" w:rsidRPr="00241678">
        <w:rPr>
          <w:rFonts w:cs="Calibri"/>
          <w:bCs/>
          <w:spacing w:val="-4"/>
          <w:sz w:val="24"/>
          <w:szCs w:val="24"/>
        </w:rPr>
        <w:t>ozorze technicznym (Dz. U. z 2021 r. poz.272</w:t>
      </w:r>
      <w:r w:rsidR="006F0696" w:rsidRPr="00241678">
        <w:rPr>
          <w:rFonts w:cs="Calibri"/>
          <w:bCs/>
          <w:spacing w:val="-4"/>
          <w:sz w:val="24"/>
          <w:szCs w:val="24"/>
        </w:rPr>
        <w:t xml:space="preserve">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27 kwietnia 2001 r. Prawo ochrony środowiska (Dz. U. z 20</w:t>
      </w:r>
      <w:r w:rsidR="00BF51D7" w:rsidRPr="00241678">
        <w:rPr>
          <w:rFonts w:cs="Calibri"/>
          <w:bCs/>
          <w:spacing w:val="-4"/>
          <w:sz w:val="24"/>
          <w:szCs w:val="24"/>
        </w:rPr>
        <w:t>20 r. poz. 12</w:t>
      </w:r>
      <w:r w:rsidRPr="00241678">
        <w:rPr>
          <w:rFonts w:cs="Calibri"/>
          <w:bCs/>
          <w:spacing w:val="-4"/>
          <w:sz w:val="24"/>
          <w:szCs w:val="24"/>
        </w:rPr>
        <w:t>19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Rozporządzeniem Ministra Infrastruktury z dnia 23 czerwca 2003 r. w sprawie informacji dotyczącej bezpieczeństwa i ochrony zdrowia oraz planu bezpieczeństwa i ochrony zdrowia (Dz. U. z 2003 r. Nr 120, poz. 1126),</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w:t>
      </w:r>
      <w:r w:rsidR="00BF51D7" w:rsidRPr="00241678">
        <w:rPr>
          <w:rFonts w:cs="Calibri"/>
          <w:bCs/>
          <w:spacing w:val="-4"/>
          <w:sz w:val="24"/>
          <w:szCs w:val="24"/>
        </w:rPr>
        <w:t>ządzenie Ministra Rozwoju</w:t>
      </w:r>
      <w:r w:rsidRPr="00241678">
        <w:rPr>
          <w:rFonts w:cs="Calibri"/>
          <w:bCs/>
          <w:spacing w:val="-4"/>
          <w:sz w:val="24"/>
          <w:szCs w:val="24"/>
        </w:rPr>
        <w:t xml:space="preserve"> z dnia </w:t>
      </w:r>
      <w:r w:rsidR="00BF51D7" w:rsidRPr="00241678">
        <w:rPr>
          <w:rFonts w:cs="Calibri"/>
          <w:bCs/>
          <w:spacing w:val="-4"/>
          <w:sz w:val="24"/>
          <w:szCs w:val="24"/>
        </w:rPr>
        <w:t>11 września</w:t>
      </w:r>
      <w:r w:rsidRPr="00241678">
        <w:rPr>
          <w:rFonts w:cs="Calibri"/>
          <w:bCs/>
          <w:spacing w:val="-4"/>
          <w:sz w:val="24"/>
          <w:szCs w:val="24"/>
        </w:rPr>
        <w:t xml:space="preserve"> 20</w:t>
      </w:r>
      <w:r w:rsidR="00BF51D7" w:rsidRPr="00241678">
        <w:rPr>
          <w:rFonts w:cs="Calibri"/>
          <w:bCs/>
          <w:spacing w:val="-4"/>
          <w:sz w:val="24"/>
          <w:szCs w:val="24"/>
        </w:rPr>
        <w:t>20</w:t>
      </w:r>
      <w:r w:rsidRPr="00241678">
        <w:rPr>
          <w:rFonts w:cs="Calibri"/>
          <w:bCs/>
          <w:spacing w:val="-4"/>
          <w:sz w:val="24"/>
          <w:szCs w:val="24"/>
        </w:rPr>
        <w:t xml:space="preserve"> r. w sprawie szczegółowego zakresu i formy projektu budowlanego (Dz. U. z 202</w:t>
      </w:r>
      <w:r w:rsidR="00BF51D7" w:rsidRPr="00241678">
        <w:rPr>
          <w:rFonts w:cs="Calibri"/>
          <w:bCs/>
          <w:spacing w:val="-4"/>
          <w:sz w:val="24"/>
          <w:szCs w:val="24"/>
        </w:rPr>
        <w:t>0 r. poz. 1609</w:t>
      </w:r>
      <w:r w:rsidRPr="00241678">
        <w:rPr>
          <w:rFonts w:cs="Calibri"/>
          <w:bCs/>
          <w:spacing w:val="-4"/>
          <w:sz w:val="24"/>
          <w:szCs w:val="24"/>
        </w:rPr>
        <w:t>),</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12 kwietnia 2002 r. w sprawie warunków technicznych, jakim powinny odpowiadać budynki i ich usytuowanie (Dz. U. z 2015 r. poz. 1422 ze zmianami),</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06 lutego 2003 r. w sprawie bezpieczeństwa i higieny pracy podczas wykonywania robót budowlanych (Dz. U. z 2003 r. Nr 47 poz. 401),</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lastRenderedPageBreak/>
        <w:t>Innymi nie wymienionymi wyżej obowiązującymi przepisami prawa, w tym techniczno- budowlanymi, Polskimi Normami, Warunkami Technicznymi oraz zasadami wiedzy technicznej.</w:t>
      </w:r>
    </w:p>
    <w:p w:rsidR="007B7794" w:rsidRPr="00241678" w:rsidRDefault="007B7794" w:rsidP="00DC494A">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 xml:space="preserve">Zgodnie z art. 95 ust. 1 ustawy </w:t>
      </w:r>
      <w:proofErr w:type="spellStart"/>
      <w:r w:rsidRPr="00241678">
        <w:rPr>
          <w:rFonts w:ascii="Calibri" w:hAnsi="Calibri" w:cs="Calibri"/>
          <w:bCs/>
          <w:spacing w:val="-6"/>
          <w:sz w:val="24"/>
          <w:szCs w:val="24"/>
        </w:rPr>
        <w:t>Pzp</w:t>
      </w:r>
      <w:proofErr w:type="spellEnd"/>
      <w:r w:rsidRPr="00241678">
        <w:rPr>
          <w:rFonts w:ascii="Calibri" w:hAnsi="Calibri" w:cs="Calibri"/>
          <w:bCs/>
          <w:spacing w:val="-6"/>
          <w:sz w:val="24"/>
          <w:szCs w:val="24"/>
        </w:rPr>
        <w:t>. zamawiający informuje, że w zakresie realizacji zamówienia nie występują czynności, których wykonywanie polega na wykonywaniu pracy w sposób określony w art</w:t>
      </w:r>
      <w:r w:rsidR="00AD3352" w:rsidRPr="00241678">
        <w:rPr>
          <w:rFonts w:ascii="Calibri" w:hAnsi="Calibri" w:cs="Calibri"/>
          <w:bCs/>
          <w:spacing w:val="-6"/>
          <w:sz w:val="24"/>
          <w:szCs w:val="24"/>
        </w:rPr>
        <w:t>. 22 § 1 ustawy z dnia 26 cz</w:t>
      </w:r>
      <w:r w:rsidRPr="00241678">
        <w:rPr>
          <w:rFonts w:ascii="Calibri" w:hAnsi="Calibri" w:cs="Calibri"/>
          <w:bCs/>
          <w:spacing w:val="-6"/>
          <w:sz w:val="24"/>
          <w:szCs w:val="24"/>
        </w:rPr>
        <w:t>erwca 1974 r. – Kodeks Pracy.</w:t>
      </w:r>
    </w:p>
    <w:p w:rsidR="00C7387E" w:rsidRPr="00241678" w:rsidRDefault="00AD3352" w:rsidP="00AD3352">
      <w:pPr>
        <w:suppressAutoHyphens/>
        <w:spacing w:line="276" w:lineRule="auto"/>
        <w:ind w:left="360"/>
        <w:jc w:val="both"/>
        <w:rPr>
          <w:rFonts w:ascii="Calibri" w:hAnsi="Calibri" w:cs="Calibri"/>
          <w:bCs/>
          <w:spacing w:val="-6"/>
          <w:sz w:val="24"/>
          <w:szCs w:val="24"/>
        </w:rPr>
      </w:pPr>
      <w:r w:rsidRPr="00241678">
        <w:rPr>
          <w:rFonts w:ascii="Calibri" w:hAnsi="Calibri" w:cs="Calibri"/>
          <w:bCs/>
          <w:spacing w:val="-6"/>
          <w:sz w:val="24"/>
          <w:szCs w:val="24"/>
        </w:rPr>
        <w:t>Zamawiają</w:t>
      </w:r>
      <w:r w:rsidR="007B7794" w:rsidRPr="00241678">
        <w:rPr>
          <w:rFonts w:ascii="Calibri" w:hAnsi="Calibri" w:cs="Calibri"/>
          <w:bCs/>
          <w:spacing w:val="-6"/>
          <w:sz w:val="24"/>
          <w:szCs w:val="24"/>
        </w:rPr>
        <w:t>cy nie przewiduje zatrudnie</w:t>
      </w:r>
      <w:r w:rsidRPr="00241678">
        <w:rPr>
          <w:rFonts w:ascii="Calibri" w:hAnsi="Calibri" w:cs="Calibri"/>
          <w:bCs/>
          <w:spacing w:val="-6"/>
          <w:sz w:val="24"/>
          <w:szCs w:val="24"/>
        </w:rPr>
        <w:t>nia w zakresie określonym w art. 96 ustawy.</w:t>
      </w:r>
    </w:p>
    <w:p w:rsidR="00C7387E" w:rsidRPr="00AD3352"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nie przewiduje obowiązku osobistego wykonania przez wykonawcę kluczowych zadań zgodnie z art. 60 i art. 121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082C2A" w:rsidRPr="00865570" w:rsidRDefault="00082C2A" w:rsidP="00082C2A">
      <w:pPr>
        <w:tabs>
          <w:tab w:val="left" w:pos="426"/>
        </w:tabs>
        <w:spacing w:line="276" w:lineRule="auto"/>
        <w:ind w:left="360"/>
        <w:jc w:val="both"/>
        <w:rPr>
          <w:rFonts w:ascii="Calibri" w:hAnsi="Calibri" w:cs="Calibri"/>
          <w:spacing w:val="-4"/>
          <w:sz w:val="24"/>
          <w:szCs w:val="24"/>
        </w:rPr>
      </w:pPr>
    </w:p>
    <w:p w:rsidR="00D00A44" w:rsidRPr="00A90B0D" w:rsidRDefault="00D00A44" w:rsidP="00377601">
      <w:pPr>
        <w:spacing w:line="276" w:lineRule="auto"/>
        <w:ind w:left="426"/>
        <w:jc w:val="both"/>
        <w:rPr>
          <w:rFonts w:ascii="Calibri" w:hAnsi="Calibri" w:cs="Calibr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65601C">
        <w:rPr>
          <w:rFonts w:ascii="Calibri" w:hAnsi="Calibri" w:cs="Calibri"/>
          <w:sz w:val="24"/>
          <w:szCs w:val="24"/>
        </w:rPr>
        <w:t xml:space="preserve"> 23</w:t>
      </w:r>
      <w:r w:rsidR="002C6E88">
        <w:rPr>
          <w:rFonts w:ascii="Calibri" w:hAnsi="Calibri" w:cs="Calibri"/>
          <w:sz w:val="24"/>
          <w:szCs w:val="24"/>
        </w:rPr>
        <w:t>.</w:t>
      </w:r>
      <w:r w:rsidR="005B3DB5">
        <w:rPr>
          <w:rFonts w:ascii="Calibri" w:hAnsi="Calibri" w:cs="Calibri"/>
          <w:sz w:val="24"/>
          <w:szCs w:val="24"/>
        </w:rPr>
        <w:t>06</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00" w:rsidRDefault="00EB3C00">
      <w:r>
        <w:separator/>
      </w:r>
    </w:p>
  </w:endnote>
  <w:endnote w:type="continuationSeparator" w:id="0">
    <w:p w:rsidR="00EB3C00" w:rsidRDefault="00EB3C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00" w:rsidRPr="00170FD3" w:rsidRDefault="006A4027">
    <w:pPr>
      <w:pStyle w:val="Stopka"/>
      <w:jc w:val="center"/>
      <w:rPr>
        <w:rFonts w:ascii="Arial" w:hAnsi="Arial" w:cs="Arial"/>
        <w:sz w:val="16"/>
        <w:szCs w:val="16"/>
      </w:rPr>
    </w:pPr>
    <w:r w:rsidRPr="00170FD3">
      <w:rPr>
        <w:rFonts w:ascii="Arial" w:hAnsi="Arial" w:cs="Arial"/>
        <w:sz w:val="16"/>
        <w:szCs w:val="16"/>
      </w:rPr>
      <w:fldChar w:fldCharType="begin"/>
    </w:r>
    <w:r w:rsidR="00EB3C00"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65601C">
      <w:rPr>
        <w:rFonts w:ascii="Arial" w:hAnsi="Arial" w:cs="Arial"/>
        <w:noProof/>
        <w:sz w:val="16"/>
        <w:szCs w:val="16"/>
      </w:rPr>
      <w:t>31</w:t>
    </w:r>
    <w:r w:rsidRPr="00170FD3">
      <w:rPr>
        <w:rFonts w:ascii="Arial" w:hAnsi="Arial" w:cs="Arial"/>
        <w:sz w:val="16"/>
        <w:szCs w:val="16"/>
      </w:rPr>
      <w:fldChar w:fldCharType="end"/>
    </w:r>
  </w:p>
  <w:p w:rsidR="00EB3C00" w:rsidRDefault="00EB3C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00" w:rsidRDefault="00EB3C00">
      <w:r>
        <w:separator/>
      </w:r>
    </w:p>
  </w:footnote>
  <w:footnote w:type="continuationSeparator" w:id="0">
    <w:p w:rsidR="00EB3C00" w:rsidRDefault="00EB3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00" w:rsidRPr="004918FB" w:rsidRDefault="00EB3C00"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sidR="00BE213C">
      <w:rPr>
        <w:rFonts w:ascii="Calibri" w:hAnsi="Calibri" w:cs="Calibri"/>
      </w:rPr>
      <w:t>2</w:t>
    </w:r>
    <w:r>
      <w:rPr>
        <w:rFonts w:ascii="Calibri" w:hAnsi="Calibri" w:cs="Calibri"/>
      </w:rPr>
      <w:t>4-TP/21</w:t>
    </w:r>
  </w:p>
  <w:p w:rsidR="00EB3C00" w:rsidRPr="00853A37" w:rsidRDefault="00EB3C00"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C93753"/>
    <w:multiLevelType w:val="hybridMultilevel"/>
    <w:tmpl w:val="F364E65C"/>
    <w:lvl w:ilvl="0" w:tplc="BDFE3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38542DF"/>
    <w:multiLevelType w:val="multilevel"/>
    <w:tmpl w:val="E7F2E262"/>
    <w:lvl w:ilvl="0">
      <w:start w:val="1"/>
      <w:numFmt w:val="decimal"/>
      <w:lvlText w:val="%1."/>
      <w:lvlJc w:val="left"/>
      <w:pPr>
        <w:tabs>
          <w:tab w:val="num" w:pos="360"/>
        </w:tabs>
        <w:ind w:left="360" w:hanging="360"/>
      </w:pPr>
      <w:rPr>
        <w:rFonts w:ascii="Arial" w:eastAsia="Times New Roman" w:hAnsi="Arial" w:cs="Arial" w:hint="default"/>
        <w:b w:val="0"/>
        <w:i w:val="0"/>
        <w:color w:val="auto"/>
      </w:rPr>
    </w:lvl>
    <w:lvl w:ilvl="1">
      <w:start w:val="1"/>
      <w:numFmt w:val="decimal"/>
      <w:lvlText w:val="%2)"/>
      <w:lvlJc w:val="left"/>
      <w:pPr>
        <w:tabs>
          <w:tab w:val="num" w:pos="680"/>
        </w:tabs>
        <w:ind w:left="851" w:hanging="511"/>
      </w:pPr>
      <w:rPr>
        <w:rFonts w:ascii="Arial" w:eastAsia="Times New Roman" w:hAnsi="Arial" w:cs="Arial" w:hint="default"/>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4">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7">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5"/>
  </w:num>
  <w:num w:numId="3">
    <w:abstractNumId w:val="35"/>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9"/>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7"/>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6"/>
  </w:num>
  <w:num w:numId="27">
    <w:abstractNumId w:val="15"/>
  </w:num>
  <w:num w:numId="28">
    <w:abstractNumId w:val="43"/>
  </w:num>
  <w:num w:numId="2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5"/>
  </w:num>
  <w:num w:numId="32">
    <w:abstractNumId w:val="14"/>
  </w:num>
  <w:num w:numId="33">
    <w:abstractNumId w:val="2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6"/>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 w:numId="40">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859"/>
    <w:rsid w:val="00007E52"/>
    <w:rsid w:val="00011F8E"/>
    <w:rsid w:val="0001371B"/>
    <w:rsid w:val="000142FC"/>
    <w:rsid w:val="00017587"/>
    <w:rsid w:val="00017F6B"/>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199C"/>
    <w:rsid w:val="001747F1"/>
    <w:rsid w:val="001751AA"/>
    <w:rsid w:val="00175455"/>
    <w:rsid w:val="00181BCE"/>
    <w:rsid w:val="00182365"/>
    <w:rsid w:val="00182FDA"/>
    <w:rsid w:val="00183D84"/>
    <w:rsid w:val="00185A3F"/>
    <w:rsid w:val="00187B50"/>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2C5F"/>
    <w:rsid w:val="001B3984"/>
    <w:rsid w:val="001B3A57"/>
    <w:rsid w:val="001B6210"/>
    <w:rsid w:val="001C0044"/>
    <w:rsid w:val="001C0D77"/>
    <w:rsid w:val="001C2E80"/>
    <w:rsid w:val="001C3A7C"/>
    <w:rsid w:val="001C4A63"/>
    <w:rsid w:val="001C630C"/>
    <w:rsid w:val="001C6BFB"/>
    <w:rsid w:val="001D2D98"/>
    <w:rsid w:val="001D31EA"/>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326"/>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3213"/>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3D01"/>
    <w:rsid w:val="00274C08"/>
    <w:rsid w:val="00274F9E"/>
    <w:rsid w:val="00276491"/>
    <w:rsid w:val="00277A2E"/>
    <w:rsid w:val="00277C9A"/>
    <w:rsid w:val="002833BD"/>
    <w:rsid w:val="00286CEB"/>
    <w:rsid w:val="00287CCC"/>
    <w:rsid w:val="00291818"/>
    <w:rsid w:val="002931BD"/>
    <w:rsid w:val="0029405F"/>
    <w:rsid w:val="00296730"/>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24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09C"/>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C26"/>
    <w:rsid w:val="00391EB2"/>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3F6A32"/>
    <w:rsid w:val="00400238"/>
    <w:rsid w:val="004024FC"/>
    <w:rsid w:val="004028D2"/>
    <w:rsid w:val="00403AD1"/>
    <w:rsid w:val="0040461D"/>
    <w:rsid w:val="00404C3E"/>
    <w:rsid w:val="004139C3"/>
    <w:rsid w:val="004145E2"/>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47E37"/>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4776"/>
    <w:rsid w:val="0046522C"/>
    <w:rsid w:val="004669CB"/>
    <w:rsid w:val="00467EE7"/>
    <w:rsid w:val="004707E3"/>
    <w:rsid w:val="00472616"/>
    <w:rsid w:val="00472DF7"/>
    <w:rsid w:val="004736B5"/>
    <w:rsid w:val="00474866"/>
    <w:rsid w:val="00475074"/>
    <w:rsid w:val="00477A63"/>
    <w:rsid w:val="00477B78"/>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4C02"/>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3DB5"/>
    <w:rsid w:val="005B49EE"/>
    <w:rsid w:val="005B4C64"/>
    <w:rsid w:val="005B5204"/>
    <w:rsid w:val="005B5AC2"/>
    <w:rsid w:val="005B5E1E"/>
    <w:rsid w:val="005C35EA"/>
    <w:rsid w:val="005C391B"/>
    <w:rsid w:val="005C6BC3"/>
    <w:rsid w:val="005C7512"/>
    <w:rsid w:val="005C76EE"/>
    <w:rsid w:val="005C771B"/>
    <w:rsid w:val="005D06E8"/>
    <w:rsid w:val="005D103E"/>
    <w:rsid w:val="005D246F"/>
    <w:rsid w:val="005D2889"/>
    <w:rsid w:val="005D2F75"/>
    <w:rsid w:val="005D6E0D"/>
    <w:rsid w:val="005D7066"/>
    <w:rsid w:val="005D76BA"/>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5601C"/>
    <w:rsid w:val="00660B08"/>
    <w:rsid w:val="0066153A"/>
    <w:rsid w:val="00661DB0"/>
    <w:rsid w:val="00663109"/>
    <w:rsid w:val="006633AC"/>
    <w:rsid w:val="006648F0"/>
    <w:rsid w:val="00664FE1"/>
    <w:rsid w:val="006654FE"/>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4027"/>
    <w:rsid w:val="006A50A3"/>
    <w:rsid w:val="006A7472"/>
    <w:rsid w:val="006B3E47"/>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1ABF"/>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5E9F"/>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0CBE"/>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298A"/>
    <w:rsid w:val="00B23B2B"/>
    <w:rsid w:val="00B25F16"/>
    <w:rsid w:val="00B26180"/>
    <w:rsid w:val="00B266C3"/>
    <w:rsid w:val="00B30851"/>
    <w:rsid w:val="00B30C43"/>
    <w:rsid w:val="00B32E18"/>
    <w:rsid w:val="00B3355C"/>
    <w:rsid w:val="00B36205"/>
    <w:rsid w:val="00B36C86"/>
    <w:rsid w:val="00B40EE8"/>
    <w:rsid w:val="00B40FE4"/>
    <w:rsid w:val="00B420D7"/>
    <w:rsid w:val="00B45483"/>
    <w:rsid w:val="00B4548D"/>
    <w:rsid w:val="00B50B00"/>
    <w:rsid w:val="00B50FB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87926"/>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D2902"/>
    <w:rsid w:val="00BD7D8A"/>
    <w:rsid w:val="00BD7F6F"/>
    <w:rsid w:val="00BE0D1B"/>
    <w:rsid w:val="00BE1A14"/>
    <w:rsid w:val="00BE1E66"/>
    <w:rsid w:val="00BE1F18"/>
    <w:rsid w:val="00BE213C"/>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A0F"/>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2DD1"/>
    <w:rsid w:val="00D14C66"/>
    <w:rsid w:val="00D1771A"/>
    <w:rsid w:val="00D2057D"/>
    <w:rsid w:val="00D21DCC"/>
    <w:rsid w:val="00D23E27"/>
    <w:rsid w:val="00D2481E"/>
    <w:rsid w:val="00D25553"/>
    <w:rsid w:val="00D26081"/>
    <w:rsid w:val="00D27DBA"/>
    <w:rsid w:val="00D32168"/>
    <w:rsid w:val="00D327CA"/>
    <w:rsid w:val="00D338CF"/>
    <w:rsid w:val="00D33AD8"/>
    <w:rsid w:val="00D33EBE"/>
    <w:rsid w:val="00D35085"/>
    <w:rsid w:val="00D35FF5"/>
    <w:rsid w:val="00D42E32"/>
    <w:rsid w:val="00D42F3E"/>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B84"/>
    <w:rsid w:val="00E71F45"/>
    <w:rsid w:val="00E73140"/>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3C00"/>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3BB"/>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6AC"/>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25F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B8524-58E6-4E0C-88C8-F06E132C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31</Pages>
  <Words>10072</Words>
  <Characters>66828</Characters>
  <Application>Microsoft Office Word</Application>
  <DocSecurity>0</DocSecurity>
  <Lines>556</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76747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86</cp:revision>
  <cp:lastPrinted>2021-06-21T07:13:00Z</cp:lastPrinted>
  <dcterms:created xsi:type="dcterms:W3CDTF">2021-02-18T10:49:00Z</dcterms:created>
  <dcterms:modified xsi:type="dcterms:W3CDTF">2021-06-23T08:39:00Z</dcterms:modified>
</cp:coreProperties>
</file>