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715EB4" w14:textId="77777777" w:rsidR="003A086C" w:rsidRPr="008F70CD" w:rsidRDefault="003A086C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E295DBC" w14:textId="00053E8C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FF412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231/02/2024/W</w:t>
      </w:r>
    </w:p>
    <w:p w14:paraId="43FDDAFA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355ADCDF" w:rsidR="005D59F5" w:rsidRPr="008F70CD" w:rsidRDefault="00FF4125" w:rsidP="00776C60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awarta w Elblągu pomiędzy:</w:t>
      </w:r>
    </w:p>
    <w:p w14:paraId="7DFDF437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015790" w:rsidR="005D59F5" w:rsidRPr="008F70CD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8F70CD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00 zł,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581FEAB7" w14:textId="77777777" w:rsidR="00F40AA6" w:rsidRPr="008F70CD" w:rsidRDefault="00F40AA6" w:rsidP="00F40AA6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0E9C15FE" w14:textId="73FEB9FE" w:rsidR="005D59F5" w:rsidRPr="008F70CD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77777777" w:rsidR="00AD77E7" w:rsidRPr="008F70CD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3E5A640F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8F70CD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1E45DE8" w:rsidR="005D59F5" w:rsidRPr="008F70CD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8F70C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8F70CD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„</w:t>
      </w:r>
      <w:r w:rsidR="00A446FC" w:rsidRPr="00FF412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Zakup krążników gładkich</w:t>
      </w:r>
      <w:r w:rsidR="00A446FC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446FC" w:rsidRPr="00FF412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 przenośników taśmowych</w:t>
      </w:r>
      <w:r w:rsidR="00776C60" w:rsidRPr="00FF412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”.</w:t>
      </w:r>
      <w:r w:rsidR="00A446FC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29EFD55A" w14:textId="77777777" w:rsidR="005D59F5" w:rsidRPr="008F70CD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1109B7F2" w:rsidR="005D59F5" w:rsidRPr="008F70CD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42E5E27C" w:rsidR="00E91DEB" w:rsidRPr="008F70CD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 do 1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0.</w:t>
      </w:r>
    </w:p>
    <w:p w14:paraId="56040C71" w14:textId="77777777" w:rsidR="00AF3617" w:rsidRPr="008F70CD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8F70CD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8F70CD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8F70CD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8F70CD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8F70CD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8F70CD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>protokół przekazania towaru</w:t>
      </w:r>
      <w:r w:rsidR="00B23D05" w:rsidRPr="008F70CD">
        <w:rPr>
          <w:rFonts w:ascii="Lato" w:hAnsi="Lato"/>
          <w:sz w:val="22"/>
          <w:szCs w:val="22"/>
        </w:rPr>
        <w:t>,</w:t>
      </w:r>
    </w:p>
    <w:p w14:paraId="5F4C0262" w14:textId="0B9C7B8E" w:rsidR="00AF3617" w:rsidRPr="008F70CD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>karty charakterystyki produktu, jeśli dotyczą</w:t>
      </w:r>
      <w:r w:rsidR="00A862C3" w:rsidRPr="008F70CD">
        <w:rPr>
          <w:rFonts w:ascii="Lato" w:hAnsi="Lato"/>
          <w:sz w:val="22"/>
          <w:szCs w:val="22"/>
        </w:rPr>
        <w:t>.</w:t>
      </w:r>
    </w:p>
    <w:p w14:paraId="769ABA8B" w14:textId="1B327580" w:rsidR="00E91DEB" w:rsidRPr="008F70CD" w:rsidRDefault="00E91DEB" w:rsidP="00AF3617">
      <w:pPr>
        <w:jc w:val="center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5C3786C9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93AC0DC" w14:textId="77777777" w:rsidR="00A862C3" w:rsidRPr="008F70CD" w:rsidRDefault="00A862C3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68FC5A0" w14:textId="6D96A183" w:rsidR="00AF3617" w:rsidRPr="008F70CD" w:rsidRDefault="00AF3617" w:rsidP="00A446FC">
      <w:pPr>
        <w:ind w:left="357" w:hanging="357"/>
        <w:jc w:val="both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 xml:space="preserve">1. </w:t>
      </w:r>
      <w:r w:rsidR="00B61D04" w:rsidRPr="008F70CD">
        <w:rPr>
          <w:rFonts w:ascii="Lato" w:hAnsi="Lato"/>
          <w:sz w:val="22"/>
          <w:szCs w:val="22"/>
        </w:rPr>
        <w:tab/>
      </w:r>
      <w:r w:rsidRPr="008F70CD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  <w:r w:rsidR="00A446FC" w:rsidRPr="008F70CD">
        <w:rPr>
          <w:rFonts w:ascii="Lato" w:hAnsi="Lato"/>
          <w:sz w:val="22"/>
          <w:szCs w:val="22"/>
        </w:rPr>
        <w:t xml:space="preserve"> </w:t>
      </w:r>
      <w:r w:rsidR="00B61D04" w:rsidRPr="008F70CD">
        <w:rPr>
          <w:rFonts w:ascii="Lato" w:hAnsi="Lato"/>
          <w:sz w:val="22"/>
          <w:szCs w:val="22"/>
        </w:rPr>
        <w:t>Wykonawca</w:t>
      </w:r>
      <w:r w:rsidRPr="008F70CD">
        <w:rPr>
          <w:rFonts w:ascii="Lato" w:hAnsi="Lato"/>
          <w:sz w:val="22"/>
          <w:szCs w:val="22"/>
        </w:rPr>
        <w:t xml:space="preserve"> zobowiązany jest zrealizować dostawę w terminie </w:t>
      </w:r>
      <w:r w:rsidR="00684205">
        <w:rPr>
          <w:rFonts w:ascii="Lato" w:hAnsi="Lato"/>
          <w:sz w:val="22"/>
          <w:szCs w:val="22"/>
        </w:rPr>
        <w:t>14</w:t>
      </w:r>
      <w:r w:rsidRPr="008F70CD">
        <w:rPr>
          <w:rFonts w:ascii="Lato" w:hAnsi="Lato"/>
          <w:sz w:val="22"/>
          <w:szCs w:val="22"/>
        </w:rPr>
        <w:t xml:space="preserve"> dni od dnia </w:t>
      </w:r>
      <w:r w:rsidR="00A446FC" w:rsidRPr="008F70CD">
        <w:rPr>
          <w:rFonts w:ascii="Lato" w:hAnsi="Lato"/>
          <w:sz w:val="22"/>
          <w:szCs w:val="22"/>
        </w:rPr>
        <w:t xml:space="preserve">podpisania </w:t>
      </w:r>
      <w:r w:rsidR="00776C60">
        <w:rPr>
          <w:rFonts w:ascii="Lato" w:hAnsi="Lato"/>
          <w:sz w:val="22"/>
          <w:szCs w:val="22"/>
        </w:rPr>
        <w:t>U</w:t>
      </w:r>
      <w:r w:rsidR="00A446FC" w:rsidRPr="008F70CD">
        <w:rPr>
          <w:rFonts w:ascii="Lato" w:hAnsi="Lato"/>
          <w:sz w:val="22"/>
          <w:szCs w:val="22"/>
        </w:rPr>
        <w:t>mowy</w:t>
      </w:r>
      <w:r w:rsidR="00063B1F" w:rsidRPr="008F70CD">
        <w:rPr>
          <w:rFonts w:ascii="Lato" w:hAnsi="Lato"/>
          <w:sz w:val="22"/>
          <w:szCs w:val="22"/>
        </w:rPr>
        <w:t>.</w:t>
      </w:r>
      <w:r w:rsidRPr="008F70CD">
        <w:rPr>
          <w:rFonts w:ascii="Lato" w:hAnsi="Lato"/>
          <w:sz w:val="22"/>
          <w:szCs w:val="22"/>
        </w:rPr>
        <w:t xml:space="preserve"> </w:t>
      </w:r>
    </w:p>
    <w:p w14:paraId="472E3EF7" w14:textId="70E038E0" w:rsidR="005D59F5" w:rsidRPr="008F70CD" w:rsidRDefault="00A446FC" w:rsidP="00776C60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0" w:name="_Hlk72313989"/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bookmarkEnd w:id="0"/>
    <w:p w14:paraId="52F36556" w14:textId="77777777" w:rsidR="00E91DEB" w:rsidRPr="008F70CD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744C79F9" w:rsidR="005D59F5" w:rsidRPr="008F70CD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</w:t>
      </w:r>
      <w:r w:rsidR="00D347AA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fakturach zostanie doliczony należny podatek VAT.</w:t>
      </w:r>
    </w:p>
    <w:p w14:paraId="47A14384" w14:textId="0F9DB7FF" w:rsidR="005D59F5" w:rsidRPr="008F70CD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indywidualną. W przypadku zatwierdzenia wyceny przez Zamawiającego,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10A7FD5E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8F70CD" w:rsidRDefault="00AF3617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D7DA08A" w:rsidR="00AF3617" w:rsidRPr="008F70CD" w:rsidRDefault="00AF3617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Pr="008F70CD">
        <w:rPr>
          <w:rFonts w:ascii="Lato" w:eastAsia="Calibri" w:hAnsi="Lato" w:cs="Times New Roman"/>
          <w:bCs/>
          <w:sz w:val="22"/>
          <w:szCs w:val="22"/>
          <w:lang w:eastAsia="en-US"/>
        </w:rPr>
        <w:t>nr telefonu: ……………………………</w:t>
      </w:r>
      <w:r w:rsidRPr="008F70CD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, </w:t>
      </w:r>
      <w:r w:rsidRPr="008F70CD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Pr="008F70CD">
        <w:rPr>
          <w:rFonts w:ascii="Lato" w:eastAsia="Calibri" w:hAnsi="Lato" w:cs="Times New Roman"/>
          <w:bCs/>
          <w:sz w:val="22"/>
          <w:szCs w:val="22"/>
          <w:lang w:eastAsia="en-US"/>
        </w:rPr>
        <w:tab/>
        <w:t>……………………………….</w:t>
      </w:r>
    </w:p>
    <w:p w14:paraId="69C36AEF" w14:textId="77777777" w:rsidR="005D59F5" w:rsidRPr="008F70CD" w:rsidRDefault="00157140" w:rsidP="00AF361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8F70CD" w:rsidRDefault="00E91DEB" w:rsidP="006041EB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8F70CD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F70CD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8F70CD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75DCB9F8" w:rsidR="005D59F5" w:rsidRPr="008F70CD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16FAF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359E5A2D" w:rsidR="005D59F5" w:rsidRPr="008F70CD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8F70CD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8F70CD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8F70CD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8F70CD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8F70CD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5B69B5" w:rsidR="00AF3617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8F70CD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776C60">
        <w:rPr>
          <w:rFonts w:ascii="Lato" w:hAnsi="Lato" w:cs="Arial"/>
          <w:sz w:val="22"/>
          <w:szCs w:val="22"/>
        </w:rPr>
        <w:t>1</w:t>
      </w:r>
      <w:r w:rsidR="00816FAF" w:rsidRPr="008F70CD">
        <w:rPr>
          <w:rFonts w:ascii="Lato" w:hAnsi="Lato" w:cs="Arial"/>
          <w:sz w:val="22"/>
          <w:szCs w:val="22"/>
        </w:rPr>
        <w:t xml:space="preserve"> </w:t>
      </w:r>
      <w:r w:rsidRPr="008F70CD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7325854D" w14:textId="77777777" w:rsidR="00776C60" w:rsidRDefault="00776C60" w:rsidP="00776C60">
      <w:pPr>
        <w:pStyle w:val="Akapitzlist"/>
        <w:contextualSpacing/>
        <w:rPr>
          <w:rFonts w:ascii="Lato" w:hAnsi="Lato" w:cs="Arial"/>
          <w:sz w:val="22"/>
          <w:szCs w:val="22"/>
        </w:rPr>
      </w:pPr>
    </w:p>
    <w:p w14:paraId="6DFAC0D9" w14:textId="77777777" w:rsidR="00776C60" w:rsidRDefault="00776C60" w:rsidP="00776C60">
      <w:pPr>
        <w:pStyle w:val="Akapitzlist"/>
        <w:contextualSpacing/>
        <w:rPr>
          <w:rFonts w:ascii="Lato" w:hAnsi="Lato" w:cs="Arial"/>
          <w:sz w:val="22"/>
          <w:szCs w:val="22"/>
        </w:rPr>
      </w:pPr>
    </w:p>
    <w:p w14:paraId="74837829" w14:textId="77777777" w:rsidR="00776C60" w:rsidRDefault="00776C60" w:rsidP="00776C60">
      <w:pPr>
        <w:pStyle w:val="Akapitzlist"/>
        <w:contextualSpacing/>
        <w:rPr>
          <w:rFonts w:ascii="Lato" w:hAnsi="Lato" w:cs="Arial"/>
          <w:sz w:val="22"/>
          <w:szCs w:val="22"/>
        </w:rPr>
      </w:pPr>
    </w:p>
    <w:p w14:paraId="5A48E5EE" w14:textId="77777777" w:rsidR="00776C60" w:rsidRPr="008F70CD" w:rsidRDefault="00776C60" w:rsidP="00776C60">
      <w:pPr>
        <w:pStyle w:val="Akapitzlist"/>
        <w:contextualSpacing/>
        <w:rPr>
          <w:rFonts w:ascii="Lato" w:hAnsi="Lato" w:cs="Arial"/>
          <w:sz w:val="22"/>
          <w:szCs w:val="22"/>
        </w:rPr>
      </w:pPr>
    </w:p>
    <w:p w14:paraId="1E2743A1" w14:textId="5B1011CA" w:rsidR="005D59F5" w:rsidRPr="008F70CD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816FAF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12875E82" w:rsidR="005D59F5" w:rsidRPr="008F70CD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C6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8F70CD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8F70CD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8F70CD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8F70CD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8F70CD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8F70CD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8F70CD">
        <w:rPr>
          <w:rFonts w:ascii="Lato" w:hAnsi="Lato" w:cs="Open Sans"/>
          <w:sz w:val="22"/>
          <w:szCs w:val="22"/>
        </w:rPr>
        <w:t>4.</w:t>
      </w:r>
      <w:r w:rsidRPr="008F70CD">
        <w:rPr>
          <w:rFonts w:ascii="Lato" w:hAnsi="Lato" w:cs="Open Sans"/>
          <w:sz w:val="22"/>
          <w:szCs w:val="22"/>
        </w:rPr>
        <w:tab/>
      </w:r>
      <w:r w:rsidRPr="008F70CD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8F70CD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8F70CD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8F70CD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8F70CD">
        <w:rPr>
          <w:rFonts w:ascii="Lato" w:hAnsi="Lato" w:cs="Open Sans"/>
          <w:color w:val="000000"/>
          <w:sz w:val="22"/>
          <w:szCs w:val="22"/>
        </w:rPr>
        <w:tab/>
      </w:r>
      <w:r w:rsidRPr="008F70CD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8F70CD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8F70CD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8F70CD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8F70CD">
        <w:rPr>
          <w:rFonts w:ascii="Lato" w:hAnsi="Lato" w:cs="Open Sans"/>
          <w:color w:val="000000"/>
          <w:sz w:val="22"/>
          <w:szCs w:val="22"/>
        </w:rPr>
        <w:t xml:space="preserve">Wykonawca oświadcza, </w:t>
      </w:r>
      <w:r w:rsidRPr="00776C60">
        <w:rPr>
          <w:rFonts w:ascii="Lato" w:hAnsi="Lato" w:cs="Open Sans"/>
          <w:i/>
          <w:iCs/>
          <w:color w:val="000000"/>
          <w:sz w:val="22"/>
          <w:szCs w:val="22"/>
        </w:rPr>
        <w:t>iż jest/nie jest</w:t>
      </w:r>
      <w:r w:rsidRPr="008F70CD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8F70CD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8F70CD">
        <w:rPr>
          <w:rFonts w:ascii="Lato" w:hAnsi="Lato" w:cs="Open Sans"/>
          <w:sz w:val="22"/>
          <w:szCs w:val="22"/>
        </w:rPr>
        <w:t>*niepotrzebne skreślić</w:t>
      </w:r>
    </w:p>
    <w:p w14:paraId="28C15F14" w14:textId="75EDB2D9" w:rsidR="006041EB" w:rsidRPr="008F70CD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8F70CD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9E182C">
        <w:rPr>
          <w:rFonts w:ascii="Lato" w:hAnsi="Lato" w:cs="Open Sans"/>
          <w:sz w:val="22"/>
          <w:szCs w:val="22"/>
        </w:rPr>
        <w:t>.</w:t>
      </w:r>
    </w:p>
    <w:p w14:paraId="6709611B" w14:textId="77777777" w:rsidR="005D59F5" w:rsidRPr="008F70CD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8F70CD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8F70CD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8F70CD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8F70CD">
        <w:rPr>
          <w:rFonts w:ascii="Lato" w:hAnsi="Lato" w:cs="Arial"/>
          <w:sz w:val="22"/>
          <w:szCs w:val="22"/>
        </w:rPr>
        <w:t>Wykonawca</w:t>
      </w:r>
      <w:r w:rsidR="00AF3617" w:rsidRPr="008F70CD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8F70CD">
        <w:rPr>
          <w:rFonts w:ascii="Lato" w:hAnsi="Lato" w:cs="Arial"/>
          <w:sz w:val="22"/>
          <w:szCs w:val="22"/>
        </w:rPr>
        <w:t>7</w:t>
      </w:r>
      <w:r w:rsidR="00AF3617" w:rsidRPr="008F70CD">
        <w:rPr>
          <w:rFonts w:ascii="Lato" w:hAnsi="Lato" w:cs="Arial"/>
          <w:sz w:val="22"/>
          <w:szCs w:val="22"/>
        </w:rPr>
        <w:t xml:space="preserve"> dni;</w:t>
      </w:r>
    </w:p>
    <w:p w14:paraId="31A6786B" w14:textId="30294F7E" w:rsidR="009E182C" w:rsidRPr="000303F8" w:rsidRDefault="00B61D04" w:rsidP="009E182C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8F70CD">
        <w:rPr>
          <w:rFonts w:ascii="Lato" w:hAnsi="Lato" w:cs="Arial"/>
          <w:sz w:val="22"/>
          <w:szCs w:val="22"/>
        </w:rPr>
        <w:t>Wykonawca</w:t>
      </w:r>
      <w:r w:rsidR="00AF3617" w:rsidRPr="008F70CD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8F70CD">
        <w:rPr>
          <w:rFonts w:ascii="Lato" w:hAnsi="Lato" w:cs="Arial"/>
          <w:sz w:val="22"/>
          <w:szCs w:val="22"/>
        </w:rPr>
        <w:t>7</w:t>
      </w:r>
      <w:r w:rsidR="00AF3617" w:rsidRPr="008F70CD">
        <w:rPr>
          <w:rFonts w:ascii="Lato" w:hAnsi="Lato" w:cs="Arial"/>
          <w:sz w:val="22"/>
          <w:szCs w:val="22"/>
        </w:rPr>
        <w:t xml:space="preserve"> dni;</w:t>
      </w:r>
    </w:p>
    <w:p w14:paraId="4C132C26" w14:textId="77777777" w:rsidR="000303F8" w:rsidRDefault="00B61D04" w:rsidP="000303F8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8F70CD">
        <w:rPr>
          <w:rFonts w:ascii="Lato" w:hAnsi="Lato" w:cs="Arial"/>
          <w:sz w:val="22"/>
          <w:szCs w:val="22"/>
        </w:rPr>
        <w:t>Wykonawca</w:t>
      </w:r>
      <w:r w:rsidR="00AF3617" w:rsidRPr="008F70CD">
        <w:rPr>
          <w:rFonts w:ascii="Lato" w:hAnsi="Lato" w:cs="Arial"/>
          <w:sz w:val="22"/>
          <w:szCs w:val="22"/>
        </w:rPr>
        <w:t xml:space="preserve">, co najmniej </w:t>
      </w:r>
      <w:r w:rsidR="00816FAF" w:rsidRPr="008F70CD">
        <w:rPr>
          <w:rFonts w:ascii="Lato" w:hAnsi="Lato" w:cs="Arial"/>
          <w:sz w:val="22"/>
          <w:szCs w:val="22"/>
        </w:rPr>
        <w:t xml:space="preserve">5 </w:t>
      </w:r>
      <w:r w:rsidR="00AF3617" w:rsidRPr="008F70CD">
        <w:rPr>
          <w:rFonts w:ascii="Lato" w:hAnsi="Lato" w:cs="Arial"/>
          <w:sz w:val="22"/>
          <w:szCs w:val="22"/>
        </w:rPr>
        <w:t>-krotnie, uchybił terminowi dostawy.</w:t>
      </w:r>
      <w:bookmarkEnd w:id="1"/>
    </w:p>
    <w:p w14:paraId="10BD526D" w14:textId="77777777" w:rsidR="000303F8" w:rsidRDefault="000303F8" w:rsidP="000303F8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  <w:bookmarkStart w:id="2" w:name="_GoBack"/>
      <w:bookmarkEnd w:id="2"/>
    </w:p>
    <w:p w14:paraId="22483A98" w14:textId="77777777" w:rsidR="000303F8" w:rsidRDefault="000303F8" w:rsidP="000303F8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1149C664" w14:textId="331E08E6" w:rsidR="005D59F5" w:rsidRPr="000303F8" w:rsidRDefault="005D59F5" w:rsidP="000303F8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  <w:r w:rsidRPr="000303F8">
        <w:rPr>
          <w:rFonts w:ascii="Lato" w:eastAsia="Calibri" w:hAnsi="Lato"/>
          <w:b/>
          <w:bCs/>
          <w:sz w:val="22"/>
          <w:szCs w:val="22"/>
          <w:lang w:eastAsia="en-US"/>
        </w:rPr>
        <w:lastRenderedPageBreak/>
        <w:t>§9</w:t>
      </w:r>
      <w:r w:rsidR="00E91DEB" w:rsidRPr="000303F8">
        <w:rPr>
          <w:rFonts w:ascii="Lato" w:eastAsia="Calibri" w:hAnsi="Lato"/>
          <w:b/>
          <w:bCs/>
          <w:sz w:val="22"/>
          <w:szCs w:val="22"/>
          <w:lang w:eastAsia="en-US"/>
        </w:rPr>
        <w:t xml:space="preserve"> </w:t>
      </w:r>
      <w:r w:rsidRPr="000303F8">
        <w:rPr>
          <w:rFonts w:ascii="Lato" w:eastAsia="Calibri" w:hAnsi="Lato"/>
          <w:b/>
          <w:bCs/>
          <w:sz w:val="22"/>
          <w:szCs w:val="22"/>
          <w:lang w:eastAsia="en-US"/>
        </w:rPr>
        <w:t>Postanowienia końcowe</w:t>
      </w:r>
    </w:p>
    <w:p w14:paraId="564C9C01" w14:textId="77777777" w:rsidR="005D59F5" w:rsidRPr="008F70CD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8F70CD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8F70CD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2F4588CD" w:rsidR="005D59F5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4082374" w14:textId="77777777" w:rsidR="00FF4125" w:rsidRPr="000736CE" w:rsidRDefault="00FF4125" w:rsidP="00FF4125">
      <w:pPr>
        <w:numPr>
          <w:ilvl w:val="0"/>
          <w:numId w:val="36"/>
        </w:numPr>
        <w:suppressAutoHyphens w:val="0"/>
        <w:spacing w:line="276" w:lineRule="auto"/>
        <w:ind w:left="420" w:hanging="420"/>
        <w:jc w:val="both"/>
        <w:rPr>
          <w:rFonts w:ascii="Lato" w:hAnsi="Lato"/>
          <w:sz w:val="22"/>
          <w:szCs w:val="22"/>
        </w:rPr>
      </w:pPr>
      <w:r w:rsidRPr="000736CE">
        <w:rPr>
          <w:rFonts w:ascii="Lato" w:eastAsia="Calibri" w:hAnsi="Lato" w:cs="Calibri"/>
          <w:sz w:val="22"/>
          <w:szCs w:val="22"/>
        </w:rPr>
        <w:t>Za datę zawarcia niniejszej Umowy uznaje się datę złożenia ostatniego kwalifikowanego    podpisu elektronicznego.</w:t>
      </w:r>
    </w:p>
    <w:p w14:paraId="199DE46F" w14:textId="77777777" w:rsidR="00FF4125" w:rsidRPr="008F70CD" w:rsidRDefault="00FF4125" w:rsidP="00FF4125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D4291EA" w14:textId="6D669C43" w:rsidR="00941A75" w:rsidRPr="008F70CD" w:rsidRDefault="00941A75" w:rsidP="00941A7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 w:cs="Times New Roman"/>
          <w:bCs/>
          <w:sz w:val="22"/>
          <w:szCs w:val="22"/>
          <w:lang w:eastAsia="en-US"/>
        </w:rPr>
      </w:pPr>
    </w:p>
    <w:p w14:paraId="6E737B26" w14:textId="195D5543" w:rsidR="00F0219E" w:rsidRPr="008F70CD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E182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8F7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celu realizacji umowy. Każda osoba ma prawo dostępu do treści swoich danych oraz ich poprawiania. Podanie danych jest dobrowolne.</w:t>
      </w:r>
    </w:p>
    <w:p w14:paraId="72F886ED" w14:textId="59EDADD3" w:rsidR="005D59F5" w:rsidRPr="008F70CD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8F70CD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8F70CD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D32C16E" w14:textId="77777777" w:rsidR="000303F8" w:rsidRDefault="009E182C" w:rsidP="00AF3617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     </w:t>
      </w:r>
    </w:p>
    <w:p w14:paraId="6EE8B121" w14:textId="77777777" w:rsidR="000303F8" w:rsidRDefault="000303F8" w:rsidP="00AF3617">
      <w:pPr>
        <w:rPr>
          <w:rFonts w:ascii="Lato" w:hAnsi="Lato"/>
          <w:b/>
          <w:bCs/>
          <w:sz w:val="22"/>
          <w:szCs w:val="22"/>
        </w:rPr>
      </w:pPr>
    </w:p>
    <w:p w14:paraId="18F5BAA4" w14:textId="77777777" w:rsidR="000303F8" w:rsidRDefault="000303F8" w:rsidP="00AF3617">
      <w:pPr>
        <w:rPr>
          <w:rFonts w:ascii="Lato" w:hAnsi="Lato"/>
          <w:b/>
          <w:bCs/>
          <w:sz w:val="22"/>
          <w:szCs w:val="22"/>
        </w:rPr>
      </w:pPr>
    </w:p>
    <w:p w14:paraId="06779C97" w14:textId="77777777" w:rsidR="000303F8" w:rsidRDefault="000303F8" w:rsidP="00AF3617">
      <w:pPr>
        <w:rPr>
          <w:rFonts w:ascii="Lato" w:hAnsi="Lato"/>
          <w:b/>
          <w:bCs/>
          <w:sz w:val="22"/>
          <w:szCs w:val="22"/>
        </w:rPr>
      </w:pPr>
    </w:p>
    <w:p w14:paraId="7766DA9A" w14:textId="71954C14" w:rsidR="000303F8" w:rsidRDefault="000303F8" w:rsidP="00AF3617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…………………….                                                                       ……………………..</w:t>
      </w:r>
    </w:p>
    <w:p w14:paraId="435D160D" w14:textId="19449723" w:rsidR="009255CA" w:rsidRPr="008F70CD" w:rsidRDefault="009E182C" w:rsidP="00AF3617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</w:t>
      </w:r>
      <w:r w:rsidR="009255CA" w:rsidRPr="008F70CD">
        <w:rPr>
          <w:rFonts w:ascii="Lato" w:hAnsi="Lato"/>
          <w:b/>
          <w:bCs/>
          <w:sz w:val="22"/>
          <w:szCs w:val="22"/>
        </w:rPr>
        <w:t>ZAMAWIAJĄCY</w:t>
      </w:r>
      <w:r w:rsidR="009255CA" w:rsidRPr="008F70CD">
        <w:rPr>
          <w:rFonts w:ascii="Lato" w:hAnsi="Lato"/>
          <w:sz w:val="22"/>
          <w:szCs w:val="22"/>
        </w:rPr>
        <w:tab/>
      </w:r>
      <w:r w:rsidR="009255CA" w:rsidRPr="008F70CD">
        <w:rPr>
          <w:rFonts w:ascii="Lato" w:hAnsi="Lato"/>
          <w:sz w:val="22"/>
          <w:szCs w:val="22"/>
        </w:rPr>
        <w:tab/>
      </w:r>
      <w:r w:rsidR="009255CA" w:rsidRPr="008F70CD">
        <w:rPr>
          <w:rFonts w:ascii="Lato" w:hAnsi="Lato"/>
          <w:sz w:val="22"/>
          <w:szCs w:val="22"/>
        </w:rPr>
        <w:tab/>
      </w:r>
      <w:r w:rsidR="009255CA" w:rsidRPr="008F70CD">
        <w:rPr>
          <w:rFonts w:ascii="Lato" w:hAnsi="Lato"/>
          <w:sz w:val="22"/>
          <w:szCs w:val="22"/>
        </w:rPr>
        <w:tab/>
      </w:r>
      <w:r w:rsidR="009255CA" w:rsidRPr="008F70CD">
        <w:rPr>
          <w:rFonts w:ascii="Lato" w:hAnsi="Lato"/>
          <w:sz w:val="22"/>
          <w:szCs w:val="22"/>
        </w:rPr>
        <w:tab/>
      </w:r>
      <w:r w:rsidR="009255CA" w:rsidRPr="008F70CD">
        <w:rPr>
          <w:rFonts w:ascii="Lato" w:hAnsi="Lato"/>
          <w:sz w:val="22"/>
          <w:szCs w:val="22"/>
        </w:rPr>
        <w:tab/>
      </w:r>
      <w:r w:rsidR="009255CA" w:rsidRPr="008F70CD">
        <w:rPr>
          <w:rFonts w:ascii="Lato" w:hAnsi="Lato"/>
          <w:sz w:val="22"/>
          <w:szCs w:val="22"/>
        </w:rPr>
        <w:tab/>
      </w:r>
      <w:r w:rsidR="009255CA" w:rsidRPr="008F70CD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56B46C1F" w:rsidR="00684205" w:rsidRDefault="00684205" w:rsidP="00AF3617">
      <w:pPr>
        <w:rPr>
          <w:rFonts w:ascii="Lato" w:hAnsi="Lato"/>
          <w:sz w:val="22"/>
          <w:szCs w:val="22"/>
        </w:rPr>
      </w:pPr>
    </w:p>
    <w:p w14:paraId="4693FD8E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760D8D25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177731B9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76E5461C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571C2D2D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1E543909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0C91B36C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39EFC61A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275F6D8F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3933293C" w14:textId="77777777" w:rsidR="00684205" w:rsidRPr="00684205" w:rsidRDefault="00684205" w:rsidP="00684205">
      <w:pPr>
        <w:rPr>
          <w:rFonts w:ascii="Lato" w:hAnsi="Lato"/>
          <w:sz w:val="22"/>
          <w:szCs w:val="22"/>
        </w:rPr>
      </w:pPr>
    </w:p>
    <w:p w14:paraId="62A4BCF9" w14:textId="1278BFFE" w:rsidR="00684205" w:rsidRDefault="00684205" w:rsidP="00684205">
      <w:pPr>
        <w:rPr>
          <w:rFonts w:ascii="Lato" w:hAnsi="Lato"/>
          <w:sz w:val="22"/>
          <w:szCs w:val="22"/>
        </w:rPr>
      </w:pPr>
    </w:p>
    <w:p w14:paraId="3D6A2793" w14:textId="7BEF3442" w:rsidR="003E6E1F" w:rsidRDefault="00684205" w:rsidP="00684205">
      <w:pPr>
        <w:tabs>
          <w:tab w:val="left" w:pos="1275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Załączniki:</w:t>
      </w:r>
    </w:p>
    <w:p w14:paraId="22B4B107" w14:textId="34F07C6E" w:rsidR="00684205" w:rsidRDefault="00684205" w:rsidP="00684205">
      <w:pPr>
        <w:tabs>
          <w:tab w:val="left" w:pos="1275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1)Raport oferty</w:t>
      </w:r>
    </w:p>
    <w:p w14:paraId="08E268C6" w14:textId="4303FB00" w:rsidR="00684205" w:rsidRDefault="00684205" w:rsidP="00684205">
      <w:pPr>
        <w:tabs>
          <w:tab w:val="left" w:pos="1275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2)Klauzula </w:t>
      </w:r>
      <w:proofErr w:type="spellStart"/>
      <w:r>
        <w:rPr>
          <w:rFonts w:ascii="Lato" w:hAnsi="Lato"/>
          <w:sz w:val="22"/>
          <w:szCs w:val="22"/>
        </w:rPr>
        <w:t>Rodo</w:t>
      </w:r>
      <w:proofErr w:type="spellEnd"/>
    </w:p>
    <w:p w14:paraId="1D00BF0B" w14:textId="77777777" w:rsidR="00684205" w:rsidRPr="00684205" w:rsidRDefault="00684205" w:rsidP="00684205">
      <w:pPr>
        <w:tabs>
          <w:tab w:val="left" w:pos="1275"/>
        </w:tabs>
        <w:rPr>
          <w:rFonts w:ascii="Lato" w:hAnsi="Lato"/>
          <w:sz w:val="22"/>
          <w:szCs w:val="22"/>
        </w:rPr>
      </w:pPr>
    </w:p>
    <w:sectPr w:rsidR="00684205" w:rsidRPr="00684205" w:rsidSect="00776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1ABA0" w14:textId="77777777" w:rsidR="00D33971" w:rsidRDefault="00D33971">
      <w:pPr>
        <w:rPr>
          <w:rFonts w:hint="eastAsia"/>
        </w:rPr>
      </w:pPr>
      <w:r>
        <w:separator/>
      </w:r>
    </w:p>
  </w:endnote>
  <w:endnote w:type="continuationSeparator" w:id="0">
    <w:p w14:paraId="0A43A35C" w14:textId="77777777" w:rsidR="00D33971" w:rsidRDefault="00D339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6CAB3E40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0303F8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30D45841" w:rsidR="002F2B91" w:rsidRDefault="00776C60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D4A8B68" wp14:editId="0CF5E529">
          <wp:simplePos x="0" y="0"/>
          <wp:positionH relativeFrom="column">
            <wp:posOffset>5563</wp:posOffset>
          </wp:positionH>
          <wp:positionV relativeFrom="paragraph">
            <wp:posOffset>-477078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DAC1D" w14:textId="77777777" w:rsidR="00D33971" w:rsidRDefault="00D33971">
      <w:pPr>
        <w:rPr>
          <w:rFonts w:hint="eastAsia"/>
        </w:rPr>
      </w:pPr>
      <w:r>
        <w:separator/>
      </w:r>
    </w:p>
  </w:footnote>
  <w:footnote w:type="continuationSeparator" w:id="0">
    <w:p w14:paraId="594790F0" w14:textId="77777777" w:rsidR="00D33971" w:rsidRDefault="00D339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68115190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57D623E3">
          <wp:simplePos x="0" y="0"/>
          <wp:positionH relativeFrom="column">
            <wp:posOffset>-68995</wp:posOffset>
          </wp:positionH>
          <wp:positionV relativeFrom="paragraph">
            <wp:posOffset>-427852</wp:posOffset>
          </wp:positionV>
          <wp:extent cx="2642235" cy="697230"/>
          <wp:effectExtent l="0" t="0" r="0" b="0"/>
          <wp:wrapSquare wrapText="largest"/>
          <wp:docPr id="110083719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7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1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2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7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5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7"/>
  </w:num>
  <w:num w:numId="4">
    <w:abstractNumId w:val="19"/>
  </w:num>
  <w:num w:numId="5">
    <w:abstractNumId w:val="21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4"/>
  </w:num>
  <w:num w:numId="12">
    <w:abstractNumId w:val="10"/>
  </w:num>
  <w:num w:numId="13">
    <w:abstractNumId w:val="1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4"/>
    <w:lvlOverride w:ilvl="0">
      <w:startOverride w:val="2"/>
    </w:lvlOverride>
  </w:num>
  <w:num w:numId="19">
    <w:abstractNumId w:val="34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4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1"/>
  </w:num>
  <w:num w:numId="29">
    <w:abstractNumId w:val="22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0"/>
  </w:num>
  <w:num w:numId="34">
    <w:abstractNumId w:val="18"/>
  </w:num>
  <w:num w:numId="35">
    <w:abstractNumId w:val="14"/>
  </w:num>
  <w:num w:numId="36">
    <w:abstractNumId w:val="2"/>
  </w:num>
  <w:num w:numId="37">
    <w:abstractNumId w:val="16"/>
  </w:num>
  <w:num w:numId="38">
    <w:abstractNumId w:val="33"/>
  </w:num>
  <w:num w:numId="39">
    <w:abstractNumId w:val="12"/>
  </w:num>
  <w:num w:numId="40">
    <w:abstractNumId w:val="23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7"/>
  </w:num>
  <w:num w:numId="47">
    <w:abstractNumId w:val="29"/>
  </w:num>
  <w:num w:numId="48">
    <w:abstractNumId w:val="38"/>
  </w:num>
  <w:num w:numId="49">
    <w:abstractNumId w:val="3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303F8"/>
    <w:rsid w:val="0003192B"/>
    <w:rsid w:val="00035918"/>
    <w:rsid w:val="00063B1F"/>
    <w:rsid w:val="0009678D"/>
    <w:rsid w:val="000B2EAB"/>
    <w:rsid w:val="000D692F"/>
    <w:rsid w:val="00100F36"/>
    <w:rsid w:val="00157140"/>
    <w:rsid w:val="00192020"/>
    <w:rsid w:val="00196FB3"/>
    <w:rsid w:val="001B5021"/>
    <w:rsid w:val="001C17B7"/>
    <w:rsid w:val="002D1A66"/>
    <w:rsid w:val="002F2B91"/>
    <w:rsid w:val="002F7546"/>
    <w:rsid w:val="00324CCF"/>
    <w:rsid w:val="00345028"/>
    <w:rsid w:val="00345E1F"/>
    <w:rsid w:val="00347E9C"/>
    <w:rsid w:val="003678A8"/>
    <w:rsid w:val="00377E23"/>
    <w:rsid w:val="00391123"/>
    <w:rsid w:val="00396D78"/>
    <w:rsid w:val="003A086C"/>
    <w:rsid w:val="003A5A76"/>
    <w:rsid w:val="003B0E6E"/>
    <w:rsid w:val="003B13DF"/>
    <w:rsid w:val="003E5E9F"/>
    <w:rsid w:val="003E6E1F"/>
    <w:rsid w:val="003F1CC0"/>
    <w:rsid w:val="00424A34"/>
    <w:rsid w:val="004709D8"/>
    <w:rsid w:val="00487BB0"/>
    <w:rsid w:val="004A248D"/>
    <w:rsid w:val="004A67D4"/>
    <w:rsid w:val="00501516"/>
    <w:rsid w:val="00506142"/>
    <w:rsid w:val="005315C6"/>
    <w:rsid w:val="0054768E"/>
    <w:rsid w:val="005B5C64"/>
    <w:rsid w:val="005D59F5"/>
    <w:rsid w:val="005E07A8"/>
    <w:rsid w:val="00601C31"/>
    <w:rsid w:val="006041EB"/>
    <w:rsid w:val="0062697F"/>
    <w:rsid w:val="006279D2"/>
    <w:rsid w:val="00681815"/>
    <w:rsid w:val="00684205"/>
    <w:rsid w:val="006A1954"/>
    <w:rsid w:val="006B13A0"/>
    <w:rsid w:val="006E3A36"/>
    <w:rsid w:val="006F3FAA"/>
    <w:rsid w:val="00723B92"/>
    <w:rsid w:val="007303F6"/>
    <w:rsid w:val="007414C5"/>
    <w:rsid w:val="00750E28"/>
    <w:rsid w:val="007762E6"/>
    <w:rsid w:val="00776ABB"/>
    <w:rsid w:val="00776C60"/>
    <w:rsid w:val="007A7696"/>
    <w:rsid w:val="007B72FD"/>
    <w:rsid w:val="008022CD"/>
    <w:rsid w:val="00816FAF"/>
    <w:rsid w:val="00820FFB"/>
    <w:rsid w:val="00825CAC"/>
    <w:rsid w:val="00854A63"/>
    <w:rsid w:val="00867550"/>
    <w:rsid w:val="008828D6"/>
    <w:rsid w:val="008D0657"/>
    <w:rsid w:val="008F70CD"/>
    <w:rsid w:val="009255CA"/>
    <w:rsid w:val="009322EB"/>
    <w:rsid w:val="00934193"/>
    <w:rsid w:val="00935613"/>
    <w:rsid w:val="00941A75"/>
    <w:rsid w:val="00980B3B"/>
    <w:rsid w:val="009936FE"/>
    <w:rsid w:val="009A30D0"/>
    <w:rsid w:val="009C64D0"/>
    <w:rsid w:val="009E182C"/>
    <w:rsid w:val="00A120ED"/>
    <w:rsid w:val="00A13E14"/>
    <w:rsid w:val="00A3008C"/>
    <w:rsid w:val="00A446FC"/>
    <w:rsid w:val="00A63848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71C9"/>
    <w:rsid w:val="00C8356E"/>
    <w:rsid w:val="00CB1F0F"/>
    <w:rsid w:val="00D33971"/>
    <w:rsid w:val="00D347AA"/>
    <w:rsid w:val="00D35686"/>
    <w:rsid w:val="00D40F95"/>
    <w:rsid w:val="00D431AB"/>
    <w:rsid w:val="00D5415D"/>
    <w:rsid w:val="00DB782D"/>
    <w:rsid w:val="00DD5646"/>
    <w:rsid w:val="00DE6AFC"/>
    <w:rsid w:val="00DF1D1C"/>
    <w:rsid w:val="00DF20C0"/>
    <w:rsid w:val="00DF56DB"/>
    <w:rsid w:val="00DF635C"/>
    <w:rsid w:val="00E039FF"/>
    <w:rsid w:val="00E81CB1"/>
    <w:rsid w:val="00E84212"/>
    <w:rsid w:val="00E91DEB"/>
    <w:rsid w:val="00EA5AEF"/>
    <w:rsid w:val="00EB4376"/>
    <w:rsid w:val="00EC3E33"/>
    <w:rsid w:val="00EC4F3A"/>
    <w:rsid w:val="00F0219E"/>
    <w:rsid w:val="00F10EA6"/>
    <w:rsid w:val="00F30538"/>
    <w:rsid w:val="00F40AA6"/>
    <w:rsid w:val="00F65BFE"/>
    <w:rsid w:val="00F67FE4"/>
    <w:rsid w:val="00F718A0"/>
    <w:rsid w:val="00F83381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35D7-70C3-42B1-8A17-660D8221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4</cp:revision>
  <cp:lastPrinted>2021-05-12T08:04:00Z</cp:lastPrinted>
  <dcterms:created xsi:type="dcterms:W3CDTF">2024-02-01T12:21:00Z</dcterms:created>
  <dcterms:modified xsi:type="dcterms:W3CDTF">2024-02-02T08:47:00Z</dcterms:modified>
</cp:coreProperties>
</file>