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2" w:rsidRPr="00E27C82" w:rsidRDefault="00507C72" w:rsidP="00E27C82">
      <w:pPr>
        <w:spacing w:after="0"/>
        <w:rPr>
          <w:rFonts w:cstheme="minorHAnsi"/>
          <w:sz w:val="24"/>
          <w:szCs w:val="24"/>
        </w:rPr>
      </w:pPr>
    </w:p>
    <w:p w:rsidR="00080025" w:rsidRDefault="0007178B" w:rsidP="00E27C82">
      <w:pPr>
        <w:spacing w:after="0"/>
        <w:rPr>
          <w:rFonts w:eastAsia="Lucida Sans Unicode" w:cstheme="minorHAnsi"/>
          <w:b/>
          <w:sz w:val="24"/>
          <w:szCs w:val="24"/>
          <w:lang w:eastAsia="pl-PL" w:bidi="hi-IN"/>
        </w:rPr>
      </w:pPr>
      <w:r w:rsidRPr="00E27C82">
        <w:rPr>
          <w:rFonts w:eastAsia="Lucida Sans Unicode" w:cstheme="minorHAnsi"/>
          <w:b/>
          <w:sz w:val="24"/>
          <w:szCs w:val="24"/>
          <w:lang w:eastAsia="pl-PL" w:bidi="hi-IN"/>
        </w:rPr>
        <w:t xml:space="preserve">Znak sprawy: </w:t>
      </w:r>
      <w:r w:rsidR="00080025">
        <w:rPr>
          <w:rFonts w:eastAsia="Lucida Sans Unicode" w:cstheme="minorHAnsi"/>
          <w:b/>
          <w:sz w:val="24"/>
          <w:szCs w:val="24"/>
          <w:lang w:eastAsia="pl-PL" w:bidi="hi-IN"/>
        </w:rPr>
        <w:t>IRP.272.4.</w:t>
      </w:r>
      <w:r w:rsidR="006E5BB9">
        <w:rPr>
          <w:rFonts w:eastAsia="Lucida Sans Unicode" w:cstheme="minorHAnsi"/>
          <w:b/>
          <w:sz w:val="24"/>
          <w:szCs w:val="24"/>
          <w:lang w:eastAsia="pl-PL" w:bidi="hi-IN"/>
        </w:rPr>
        <w:t>51</w:t>
      </w:r>
      <w:r w:rsidR="00080025">
        <w:rPr>
          <w:rFonts w:eastAsia="Lucida Sans Unicode" w:cstheme="minorHAnsi"/>
          <w:b/>
          <w:sz w:val="24"/>
          <w:szCs w:val="24"/>
          <w:lang w:eastAsia="pl-PL" w:bidi="hi-IN"/>
        </w:rPr>
        <w:t>.2023</w:t>
      </w:r>
    </w:p>
    <w:p w:rsidR="0007178B" w:rsidRPr="00080025" w:rsidRDefault="008F35F0" w:rsidP="00080025">
      <w:pPr>
        <w:spacing w:after="0"/>
        <w:jc w:val="right"/>
        <w:rPr>
          <w:rFonts w:cstheme="minorHAnsi"/>
          <w:bCs/>
          <w:i/>
          <w:iCs/>
          <w:sz w:val="24"/>
          <w:szCs w:val="24"/>
        </w:rPr>
      </w:pPr>
      <w:r w:rsidRPr="00080025">
        <w:rPr>
          <w:rFonts w:cstheme="minorHAnsi"/>
          <w:bCs/>
          <w:i/>
          <w:iCs/>
          <w:sz w:val="24"/>
          <w:szCs w:val="24"/>
        </w:rPr>
        <w:tab/>
      </w:r>
    </w:p>
    <w:p w:rsidR="0007178B" w:rsidRPr="00E27C82" w:rsidRDefault="0007178B" w:rsidP="00E27C82">
      <w:pPr>
        <w:widowControl w:val="0"/>
        <w:suppressAutoHyphens/>
        <w:spacing w:after="0"/>
        <w:textAlignment w:val="baseline"/>
        <w:rPr>
          <w:rFonts w:eastAsia="Lucida Sans Unicode" w:cstheme="minorHAnsi"/>
          <w:sz w:val="24"/>
          <w:szCs w:val="24"/>
          <w:lang w:eastAsia="pl-PL" w:bidi="hi-IN"/>
        </w:rPr>
      </w:pPr>
    </w:p>
    <w:p w:rsidR="008F35F0" w:rsidRDefault="008F35F0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86469" w:rsidRDefault="00986469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jc w:val="center"/>
        <w:rPr>
          <w:rFonts w:cstheme="minorHAnsi"/>
          <w:b/>
          <w:sz w:val="24"/>
          <w:szCs w:val="24"/>
        </w:rPr>
      </w:pPr>
      <w:r w:rsidRPr="00E27C82">
        <w:rPr>
          <w:rFonts w:cstheme="minorHAnsi"/>
          <w:b/>
          <w:sz w:val="24"/>
          <w:szCs w:val="24"/>
        </w:rPr>
        <w:t>Opis równoważności oprogramowania</w:t>
      </w:r>
    </w:p>
    <w:p w:rsidR="00A81382" w:rsidRPr="00E27C82" w:rsidRDefault="00A81382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E27C82">
        <w:rPr>
          <w:rFonts w:cstheme="minorHAnsi"/>
          <w:b/>
          <w:sz w:val="24"/>
          <w:szCs w:val="24"/>
          <w:u w:val="single"/>
        </w:rPr>
        <w:t>Pakiet biurowy</w:t>
      </w:r>
    </w:p>
    <w:p w:rsidR="00986469" w:rsidRPr="00E27C82" w:rsidRDefault="00986469" w:rsidP="00E27C82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licencje pakietu </w:t>
      </w:r>
      <w:r w:rsidR="00EB5382" w:rsidRPr="000524B2">
        <w:rPr>
          <w:rFonts w:cstheme="minorHAnsi"/>
          <w:bCs/>
          <w:sz w:val="24"/>
          <w:szCs w:val="24"/>
        </w:rPr>
        <w:t xml:space="preserve">Pakiet Microsoft Office 2019 Home &amp; </w:t>
      </w:r>
      <w:proofErr w:type="spellStart"/>
      <w:r w:rsidR="00EB5382" w:rsidRPr="000524B2">
        <w:rPr>
          <w:rFonts w:cstheme="minorHAnsi"/>
          <w:bCs/>
          <w:sz w:val="24"/>
          <w:szCs w:val="24"/>
        </w:rPr>
        <w:t>Busines</w:t>
      </w:r>
      <w:proofErr w:type="spellEnd"/>
      <w:r w:rsidR="00EB5382" w:rsidRPr="000524B2">
        <w:rPr>
          <w:rFonts w:cstheme="minorHAnsi"/>
          <w:bCs/>
          <w:sz w:val="24"/>
          <w:szCs w:val="24"/>
        </w:rPr>
        <w:t xml:space="preserve"> BOX</w:t>
      </w:r>
      <w:r w:rsidR="00EB5382">
        <w:rPr>
          <w:rFonts w:cstheme="minorHAnsi"/>
          <w:bCs/>
          <w:sz w:val="24"/>
          <w:szCs w:val="24"/>
        </w:rPr>
        <w:t xml:space="preserve"> z licencją bezterminową.</w:t>
      </w: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może dostarczyć rozwiązanie równoważne spełniające </w:t>
      </w:r>
      <w:r w:rsidRPr="00BF332C">
        <w:rPr>
          <w:sz w:val="24"/>
          <w:szCs w:val="24"/>
        </w:rPr>
        <w:t>następujące wymagania poprzez wbudowane mechanizmy, bez użycia dodatkowych aplikacji: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 ramach licencji zapewnione ma zostać: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stały dostęp do najnowszych aktualizacji zakupionej wersji oprogramowania,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Wymagania odnośnie interfejsu użytkownika:</w:t>
      </w:r>
      <w:bookmarkStart w:id="0" w:name="_GoBack"/>
      <w:bookmarkEnd w:id="0"/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ełna polska wersja językowa interfejsu użytkownika.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rostota i intuicyjność obsługi, pozwalająca na pracę osobom nieposiadającym umiejętności technicznych.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Oprogramowanie musi umożliwiać tworzenie i edycję dokumentów elektronicznych w ustalonym standardzie, który spełnia następujące warunki: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posiada kompletny i publicznie dostępny opis formatu,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 ze zm.),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umożliwia kreowanie plików w formacie XML,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Do aplikacji musi być dostępna pełna dokumentacja w języku polskim.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Pakiet zintegrowanych aplikacji biurowych musi zawierać</w:t>
      </w:r>
      <w:r w:rsidR="00FD273D">
        <w:rPr>
          <w:sz w:val="24"/>
          <w:szCs w:val="24"/>
        </w:rPr>
        <w:t xml:space="preserve"> przynajmniej</w:t>
      </w:r>
      <w:r w:rsidRPr="00255B1D">
        <w:rPr>
          <w:sz w:val="24"/>
          <w:szCs w:val="24"/>
        </w:rPr>
        <w:t>: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Edytor tekstów,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Arkusz kalkulacyjny,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prezentacji,</w:t>
      </w:r>
    </w:p>
    <w:p w:rsidR="00986469" w:rsidRPr="00A96044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zarządzania informacją prywatną (pocztą elektroniczną, kalendarzem, kontaktami i zadaniami),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Edytor tekstów musi umożliwiać: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Edycję i formatowanie tekstu w języku angielskim wraz z obsługą języka angielskiego w</w:t>
      </w:r>
      <w:r w:rsidR="00A21206">
        <w:rPr>
          <w:sz w:val="24"/>
          <w:szCs w:val="24"/>
        </w:rPr>
        <w:t> </w:t>
      </w:r>
      <w:r w:rsidRPr="00A96044">
        <w:rPr>
          <w:sz w:val="24"/>
          <w:szCs w:val="24"/>
        </w:rPr>
        <w:t>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tabel.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obiektów graficznych.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wykresów i tabel z arkusza kalkulacyjnego (wliczając tabele przestawne).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numerowanie rozdziałów, punktów, akapitów, tabel i rysunków.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tworzenie spisów treści.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nagłówków i stopek stron.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Śledzenie i porównywanie zmian wprowadzonych przez użytkowników w dokumencie.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Zapamiętywanie i wskazywanie miejsca, w którym zakończona była edycja dokumentu przed jego uprzednim zamknięciem.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Określenie układu strony (pionowa/pozioma).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Wydruk dokumentów.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korespondencji seryjnej bazując na danych adresowych pochodzących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arkusza kalkulacyjnego i z narzędzia do zarządzania informacją prywatną.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Pracę na dokumentach utworzonych przy pomocy Microsoft Word 2010, 2013, 2016, 2019 i 365 z zapewnieniem bezproblemowej konwersji wszystkich elementów i atrybutów dokumentu.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i edycję plików w formacie PDF,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modyfikacji.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ind w:left="709"/>
        <w:rPr>
          <w:sz w:val="24"/>
          <w:szCs w:val="24"/>
        </w:rPr>
      </w:pPr>
      <w:r w:rsidRPr="00A96044">
        <w:rPr>
          <w:sz w:val="24"/>
          <w:szCs w:val="24"/>
        </w:rPr>
        <w:t>Arkusz kalkulacyjny musi umożliwiać: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tabelarycznych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liniowych (wraz linią trendu), słupkowych, kołowych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A96044">
        <w:rPr>
          <w:sz w:val="24"/>
          <w:szCs w:val="24"/>
        </w:rPr>
        <w:t>webservice</w:t>
      </w:r>
      <w:proofErr w:type="spellEnd"/>
      <w:r w:rsidRPr="00A96044">
        <w:rPr>
          <w:sz w:val="24"/>
          <w:szCs w:val="24"/>
        </w:rPr>
        <w:t>)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Obsługę kostek OLAP oraz tworzenie i edycję kwerend bazodanowych i webowych. Narzędzia wspomagające analizę statystyczną i finansową, analizę wariantową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rozwiązywanie problemów optymalizacyjnych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Wyszukiwanie i zamianę danych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analiz danych przy użyciu formatowania warunkowego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prognoz i trendów na podstawie danych historycznych z użyciem algorytmu ETS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Nazywanie komórek arkusza i odwoływanie się w formułach po takiej nazwie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czasu, daty i wartości finansowych z polskim formatem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wielu arkuszy kalkulacyjnych w jednym pliku.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Inteligentne uzupełnianie komórek w kolumnie według rozpoznanych wzorców, wraz z ich możliwością poprawiania poprzez modyfikację proponowanych formuł.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Możliwość przedstawienia różnych wykresów przed ich finalnym wyborem (tylko po najechaniu znacznikiem myszy na dany rodzaj wykresu).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Zachowanie pełnej zgodności z formatami plików utworzonych za pomocą oprogramowania Microsoft Excel 2010, 2013, 2016, 2019, 365 z uwzględnieniem poprawnej realizacji użytych w nich funkcji specjalnych i makropoleceń.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 musi umożliwiać: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Przygotowywanie prezentacji multimedialnych, które będą: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Prezentowanie przy użyciu projektora multimedialnego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Drukowanie w formacie umożliwiającym robienie notatek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Zapisanie, jako prezentacja tylko do odczytu.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Nagrywanie narracji i dołączanie jej do prezentacji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Opatrywanie slajdów notatkami dla prezentera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i formatowanie tekstów, obiektów graficznych, tabel, nagrań dźwiękowych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wideo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tabel i wykresów pochodzących z arkusza kalkulacyjnego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Odświeżenie wykresu znajdującego się w prezentacji po zmianie danych w źródłowym arkuszu kalkulacyjnym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Możliwość tworzenia animacji obiektów i całych slajdów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Prowadzenie prezentacji w trybie prezentera, gdzie slajdy są widoczne na jednym monitorze lub projektorze, a na drugim widoczne są slajdy i notatki prezentera,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możliwością podglądu następnego slajdu.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Pełna zgodność z formatami plików utworzonych za pomocą oprogramowania MS PowerPoint 2010, 2013, 2016, 2019 i 365.</w:t>
      </w:r>
    </w:p>
    <w:p w:rsidR="00986469" w:rsidRPr="006213E0" w:rsidRDefault="00986469" w:rsidP="00986469">
      <w:pPr>
        <w:pStyle w:val="Akapitzlis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6213E0">
        <w:rPr>
          <w:sz w:val="24"/>
          <w:szCs w:val="24"/>
        </w:rPr>
        <w:t>Narzędzie do zarządzania informacją prywatną (pocztą elektroniczną, kalendarzem, kontaktami i</w:t>
      </w:r>
      <w:r w:rsidR="00557ECF">
        <w:rPr>
          <w:sz w:val="24"/>
          <w:szCs w:val="24"/>
        </w:rPr>
        <w:t> </w:t>
      </w:r>
      <w:r w:rsidRPr="006213E0">
        <w:rPr>
          <w:sz w:val="24"/>
          <w:szCs w:val="24"/>
        </w:rPr>
        <w:t>zadaniami) musi umożliwiać: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Pobieranie i wysyłanie poczty elektronicznej z serwera pocztowego,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Przechowywanie wiadomości na serwerze lub w lokalnym pliku tworzonym z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zastosowaniem efektywnej kompresji danych,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Filtrowanie niechcianej poczty elektronicznej (SPAM) oraz określanie listy zablokowanych i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bezpiecznych nadawców,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katalogów, pozwalających katalogować pocztę elektroniczną,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Automatyczne grupowanie poczty o tym samym tytule,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Oflagowanie poczty elektronicznej z określeniem terminu przypomnienia, oddzielnie dla nadawcy i adresatów,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Mechanizm ustalania liczby wiadomości, które mają być synchronizowane lokalnie,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kalendarzem,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kalendarza innym użytkownikom z możliwością określania uprawnień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lastRenderedPageBreak/>
        <w:t>Przeglądanie kalendarza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Zapraszanie uczestników na spotkanie, co po ich akceptacji powoduje automatyczne wprowadzenie spotkania w ich kalendarzach,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zadań,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Zlecanie zadań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kontaktów,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listy kontaktów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Przeglądanie listy kontaktów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Możliwość przesyłania kontaktów innym użytkowników,</w:t>
      </w:r>
    </w:p>
    <w:p w:rsidR="00986469" w:rsidRPr="000A6312" w:rsidRDefault="00986469" w:rsidP="00986469">
      <w:pPr>
        <w:pStyle w:val="Akapitzlist"/>
        <w:numPr>
          <w:ilvl w:val="0"/>
          <w:numId w:val="6"/>
        </w:numPr>
        <w:spacing w:after="0"/>
        <w:ind w:left="426" w:hanging="284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Równoważność, o której mowa w pkt. 2 oznacza, że zaproponowany pakiet będzie spełniał następujące warunki: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warunki licencji w każdym aspekcie licencjonowania nie są gorsze niż licencja produktu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funkcjonalność pakietu równoważnego nie może być gorsza od funkcjonalności pakietu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pakiet równoważny musi zapewniać pełną, równoległą współpracę i pełną funkcjonalną zamienność z pakietem wymienionym w pkt. 1.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Pr="00A81382" w:rsidRDefault="00A81382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A81382">
        <w:rPr>
          <w:rFonts w:cstheme="minorHAnsi"/>
          <w:b/>
          <w:sz w:val="24"/>
          <w:szCs w:val="24"/>
          <w:u w:val="single"/>
        </w:rPr>
        <w:t>System operacyjny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C42778" w:rsidRPr="00007C05" w:rsidRDefault="00C42778" w:rsidP="00007C05">
      <w:pPr>
        <w:spacing w:after="0"/>
        <w:jc w:val="both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</w:t>
      </w:r>
      <w:r w:rsidRPr="00007C05">
        <w:rPr>
          <w:rFonts w:cstheme="minorHAnsi"/>
          <w:sz w:val="24"/>
          <w:szCs w:val="24"/>
        </w:rPr>
        <w:t>licencje oprogramowania typu MS Windows 10 Professional 64bit PL lub równoważne, spełniające poniższe warunki: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System operacyjny dla komputerów stacjonarnych, z graficznym interfejsem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Zlokalizowane w języku polskim, co najmniej następujące elementy: menu, odtwarzacz multimediów, pomoc, komunikaty systemowe,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Wbudowany system pomocy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Graficzne środowisko instalacji i konfiguracji dostępne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bezpłatnych aktualizacji i poprawek w ramach wersji systemu operacyjnego poprzez Internet, mechanizmem udostępnianym przez producenta systemu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możliwością wyboru instalowanych poprawek oraz mechanizmem sprawdzającym, które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poprawek są potrzebne,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aktualizacji i poprawek systemu poprzez mechanizm zarządzany przez administratora systemu Zamawiającego,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Dostępność bezpłatnych biuletynów bezpieczeństwa związanych z działaniem systemu operacyjnego,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Wbudowana zapora internetowa (firewall) dla ochrony połączeń internetowych; zintegrowana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systemem konsola do zarządzania ustawieniami zapory i regułami IP v4 i v6;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mechanizmy ochrony antywirusowej i przeciw złośliwemu oprogramowaniu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zapewnionymi bezpłatnymi aktualizacjami,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13681E">
        <w:rPr>
          <w:rFonts w:cstheme="minorHAnsi"/>
          <w:sz w:val="24"/>
          <w:szCs w:val="24"/>
        </w:rPr>
        <w:t>Plug&amp;Play</w:t>
      </w:r>
      <w:proofErr w:type="spellEnd"/>
      <w:r w:rsidRPr="0013681E">
        <w:rPr>
          <w:rFonts w:cstheme="minorHAnsi"/>
          <w:sz w:val="24"/>
          <w:szCs w:val="24"/>
        </w:rPr>
        <w:t xml:space="preserve">, </w:t>
      </w:r>
      <w:proofErr w:type="spellStart"/>
      <w:r w:rsidRPr="0013681E">
        <w:rPr>
          <w:rFonts w:cstheme="minorHAnsi"/>
          <w:sz w:val="24"/>
          <w:szCs w:val="24"/>
        </w:rPr>
        <w:t>Wi</w:t>
      </w:r>
      <w:proofErr w:type="spellEnd"/>
      <w:r w:rsidRPr="0013681E">
        <w:rPr>
          <w:rFonts w:cstheme="minorHAnsi"/>
          <w:sz w:val="24"/>
          <w:szCs w:val="24"/>
        </w:rPr>
        <w:t>-Fi),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Funkcjonalność automatycznej zmiany domyślnej drukarki w zależności od sieci, do której podłączony jest komputer,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lastRenderedPageBreak/>
        <w:t>Możliwość zarządzania stacją roboczą poprzez polityki grupowe – przez politykę rozumiemy zestaw reguł definiujących lub ograniczających funkcjonalność systemu lub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Rozbudowane, definiowalne polityki bezpieczeństwa – polityki dla systemu operacyjnego i dla wskazanych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zdalnej automatycznej instalacji, konfiguracji, administrowania oraz aktualizowania systemu, zgodnie z określonymi uprawnieniami poprzez polityki grupowe,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operacyjnym moduł synchronizacji komputera z urządzeniami zewnętrznymi.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przystosowania stanowiska dla osób niepełnosprawnych (np. słabo widzących);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IPSEC oparte na politykach – wdrażanie IPSEC oparte na zestawach reguł definiujących ustawienia zarządzanych w sposób centralny;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logowania do domeny w oparciu o: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Login i hasło,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Karty z certyfikatami (</w:t>
      </w:r>
      <w:proofErr w:type="spellStart"/>
      <w:r w:rsidRPr="0013681E">
        <w:rPr>
          <w:rFonts w:cstheme="minorHAnsi"/>
          <w:sz w:val="24"/>
          <w:szCs w:val="24"/>
        </w:rPr>
        <w:t>smartcard</w:t>
      </w:r>
      <w:proofErr w:type="spellEnd"/>
      <w:r w:rsidRPr="0013681E">
        <w:rPr>
          <w:rFonts w:cstheme="minorHAnsi"/>
          <w:sz w:val="24"/>
          <w:szCs w:val="24"/>
        </w:rPr>
        <w:t>),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Wirtualne karty (logowanie w oparciu o certyfikat chroniony poprzez moduł TPM),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wieloelementowego uwierzytelniania.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do uwierzytelnienia urządzenia na bazie certyfikatu,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środowisk Java i .NET Framework 4.x – możliwość uruchomienia aplikacji działających we wskazanych środowiskach,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JScript i </w:t>
      </w:r>
      <w:proofErr w:type="spellStart"/>
      <w:r w:rsidRPr="0013681E">
        <w:rPr>
          <w:rFonts w:cstheme="minorHAnsi"/>
          <w:sz w:val="24"/>
          <w:szCs w:val="24"/>
        </w:rPr>
        <w:t>VBScript</w:t>
      </w:r>
      <w:proofErr w:type="spellEnd"/>
      <w:r w:rsidRPr="0013681E">
        <w:rPr>
          <w:rFonts w:cstheme="minorHAnsi"/>
          <w:sz w:val="24"/>
          <w:szCs w:val="24"/>
        </w:rPr>
        <w:t xml:space="preserve"> – możliwość uruchamiania interpretera poleceń,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służące do automatycznego zbudowania obrazu systemu wraz z aplikacjami. Obraz systemu służyć ma do automatycznego upowszechnienia systemu operacyjnego inicjowanego i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wykonywanego w całości poprzez sieć komputerową,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ma umożliwiające wdrożenie nowego obrazu poprzez zdalną instalację,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Transakcyjny system plików pozwalający na stosowanie przydziałów (ang. </w:t>
      </w:r>
      <w:proofErr w:type="spellStart"/>
      <w:r w:rsidRPr="0013681E">
        <w:rPr>
          <w:rFonts w:cstheme="minorHAnsi"/>
          <w:sz w:val="24"/>
          <w:szCs w:val="24"/>
        </w:rPr>
        <w:t>quota</w:t>
      </w:r>
      <w:proofErr w:type="spellEnd"/>
      <w:r w:rsidRPr="0013681E">
        <w:rPr>
          <w:rFonts w:cstheme="minorHAnsi"/>
          <w:sz w:val="24"/>
          <w:szCs w:val="24"/>
        </w:rPr>
        <w:t>) na dysku dla użytkowników oraz zapewniający większą niezawodność i pozwalający tworzyć kopie zapasowe,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Zarządzanie kontami użytkowników sieci oraz urządzeniami sieciowymi tj. drukarki, modemy, woluminy dyskowe, usługi katalogowe.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przywracania obrazu plików systemowych do uprzednio zapisanej postaci,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Identyfikacja sieci komputerowych, do których jest podłączony system operacyjny, zapamiętywanie ustawień i przypisywanie do min. 3 kategorii bezpieczeństwa </w:t>
      </w:r>
      <w:r w:rsidRPr="0013681E">
        <w:rPr>
          <w:rFonts w:cstheme="minorHAnsi"/>
          <w:sz w:val="24"/>
          <w:szCs w:val="24"/>
        </w:rPr>
        <w:lastRenderedPageBreak/>
        <w:t>(z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predefiniowanymi odpowiednio do kategorii ustawieniami zapory sieciowej, udostępniania plików itp.),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Wbudowany mechanizm wirtualizacji typu </w:t>
      </w:r>
      <w:proofErr w:type="spellStart"/>
      <w:r w:rsidRPr="0013681E">
        <w:rPr>
          <w:rFonts w:cstheme="minorHAnsi"/>
          <w:sz w:val="24"/>
          <w:szCs w:val="24"/>
        </w:rPr>
        <w:t>hypervisor</w:t>
      </w:r>
      <w:proofErr w:type="spellEnd"/>
      <w:r w:rsidRPr="0013681E">
        <w:rPr>
          <w:rFonts w:cstheme="minorHAnsi"/>
          <w:sz w:val="24"/>
          <w:szCs w:val="24"/>
        </w:rPr>
        <w:t>, umożliwiający, zgodnie z uprawnieniami licencyjnymi, uruchomienie do 4 maszyn wirtualnych,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 szyfrowania dysków wewnętrznych i zewnętrznych z możliwością szyfrowania ograniczonego do danych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13681E">
        <w:rPr>
          <w:rFonts w:cstheme="minorHAnsi"/>
          <w:sz w:val="24"/>
          <w:szCs w:val="24"/>
        </w:rPr>
        <w:t>mikrochipie</w:t>
      </w:r>
      <w:proofErr w:type="spellEnd"/>
      <w:r w:rsidRPr="0013681E">
        <w:rPr>
          <w:rFonts w:cstheme="minorHAnsi"/>
          <w:sz w:val="24"/>
          <w:szCs w:val="24"/>
        </w:rPr>
        <w:t xml:space="preserve"> TPM (</w:t>
      </w:r>
      <w:proofErr w:type="spellStart"/>
      <w:r w:rsidRPr="0013681E">
        <w:rPr>
          <w:rFonts w:cstheme="minorHAnsi"/>
          <w:sz w:val="24"/>
          <w:szCs w:val="24"/>
        </w:rPr>
        <w:t>Trusted</w:t>
      </w:r>
      <w:proofErr w:type="spellEnd"/>
      <w:r w:rsidRPr="0013681E">
        <w:rPr>
          <w:rFonts w:cstheme="minorHAnsi"/>
          <w:sz w:val="24"/>
          <w:szCs w:val="24"/>
        </w:rPr>
        <w:t xml:space="preserve"> Platform Module) w wersji minimum 1.2 lub na kluczach pamięci przenośnej USB.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tworzenia i przechowywania kopii zapasowych kluczy odzyskiwania do szyfrowania partycji w usługach katalogowych.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Default="00966D7A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sectPr w:rsidR="00011162" w:rsidSect="00986469">
      <w:headerReference w:type="even" r:id="rId9"/>
      <w:headerReference w:type="default" r:id="rId10"/>
      <w:headerReference w:type="first" r:id="rId11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95" w:rsidRDefault="00A31195" w:rsidP="00975135">
      <w:pPr>
        <w:spacing w:after="0" w:line="240" w:lineRule="auto"/>
      </w:pPr>
      <w:r>
        <w:separator/>
      </w:r>
    </w:p>
  </w:endnote>
  <w:endnote w:type="continuationSeparator" w:id="0">
    <w:p w:rsidR="00A31195" w:rsidRDefault="00A3119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95" w:rsidRDefault="00A31195" w:rsidP="00975135">
      <w:pPr>
        <w:spacing w:after="0" w:line="240" w:lineRule="auto"/>
      </w:pPr>
      <w:r>
        <w:separator/>
      </w:r>
    </w:p>
  </w:footnote>
  <w:footnote w:type="continuationSeparator" w:id="0">
    <w:p w:rsidR="00A31195" w:rsidRDefault="00A31195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A311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6E5BB9" w:rsidP="006B2787">
    <w:pPr>
      <w:pStyle w:val="Nagwek"/>
      <w:tabs>
        <w:tab w:val="clear" w:pos="4536"/>
        <w:tab w:val="clear" w:pos="9072"/>
        <w:tab w:val="left" w:pos="2025"/>
      </w:tabs>
      <w:jc w:val="right"/>
      <w:rPr>
        <w:i/>
        <w:sz w:val="24"/>
      </w:rPr>
    </w:pPr>
    <w:r>
      <w:rPr>
        <w:i/>
        <w:sz w:val="24"/>
      </w:rPr>
      <w:t>Załącznik Nr 1</w:t>
    </w:r>
    <w:r w:rsidR="006B2787" w:rsidRPr="006B2787">
      <w:rPr>
        <w:i/>
        <w:sz w:val="24"/>
      </w:rPr>
      <w:t xml:space="preserve"> do SWZ</w:t>
    </w:r>
  </w:p>
  <w:p w:rsidR="006B2787" w:rsidRPr="006B2787" w:rsidRDefault="006B2787" w:rsidP="006B2787">
    <w:pPr>
      <w:pStyle w:val="Nagwek"/>
      <w:tabs>
        <w:tab w:val="clear" w:pos="4536"/>
        <w:tab w:val="clear" w:pos="9072"/>
        <w:tab w:val="left" w:pos="2025"/>
      </w:tabs>
      <w:jc w:val="right"/>
      <w:rPr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A311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CC6"/>
    <w:multiLevelType w:val="hybridMultilevel"/>
    <w:tmpl w:val="D22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8A6"/>
    <w:multiLevelType w:val="hybridMultilevel"/>
    <w:tmpl w:val="23049D7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E7D04B6"/>
    <w:multiLevelType w:val="hybridMultilevel"/>
    <w:tmpl w:val="ADF62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3E"/>
    <w:multiLevelType w:val="hybridMultilevel"/>
    <w:tmpl w:val="803AD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0D2"/>
    <w:multiLevelType w:val="hybridMultilevel"/>
    <w:tmpl w:val="156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D298E"/>
    <w:multiLevelType w:val="hybridMultilevel"/>
    <w:tmpl w:val="C2AA9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8675EE"/>
    <w:multiLevelType w:val="hybridMultilevel"/>
    <w:tmpl w:val="0F047A6E"/>
    <w:lvl w:ilvl="0" w:tplc="809EA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57AA0"/>
    <w:multiLevelType w:val="hybridMultilevel"/>
    <w:tmpl w:val="E7D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72EE"/>
    <w:multiLevelType w:val="hybridMultilevel"/>
    <w:tmpl w:val="ABF0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46B7E"/>
    <w:multiLevelType w:val="hybridMultilevel"/>
    <w:tmpl w:val="0770B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4AFB"/>
    <w:multiLevelType w:val="hybridMultilevel"/>
    <w:tmpl w:val="8064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1CBD"/>
    <w:multiLevelType w:val="hybridMultilevel"/>
    <w:tmpl w:val="8E12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7064"/>
    <w:multiLevelType w:val="hybridMultilevel"/>
    <w:tmpl w:val="51F0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1AF9"/>
    <w:multiLevelType w:val="hybridMultilevel"/>
    <w:tmpl w:val="97F2B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7C05"/>
    <w:rsid w:val="00011162"/>
    <w:rsid w:val="00060205"/>
    <w:rsid w:val="0007178B"/>
    <w:rsid w:val="00080025"/>
    <w:rsid w:val="00086C22"/>
    <w:rsid w:val="000A55BF"/>
    <w:rsid w:val="000E025D"/>
    <w:rsid w:val="0010627A"/>
    <w:rsid w:val="0013681E"/>
    <w:rsid w:val="00164435"/>
    <w:rsid w:val="0019631E"/>
    <w:rsid w:val="00224584"/>
    <w:rsid w:val="00227102"/>
    <w:rsid w:val="00234553"/>
    <w:rsid w:val="00245D09"/>
    <w:rsid w:val="002479FA"/>
    <w:rsid w:val="00350944"/>
    <w:rsid w:val="00356996"/>
    <w:rsid w:val="003613C7"/>
    <w:rsid w:val="00386001"/>
    <w:rsid w:val="003D0533"/>
    <w:rsid w:val="003F4CC7"/>
    <w:rsid w:val="00427549"/>
    <w:rsid w:val="004C2E13"/>
    <w:rsid w:val="004D7975"/>
    <w:rsid w:val="00507C72"/>
    <w:rsid w:val="00557ECF"/>
    <w:rsid w:val="005701A4"/>
    <w:rsid w:val="00590C69"/>
    <w:rsid w:val="0063590F"/>
    <w:rsid w:val="006544B5"/>
    <w:rsid w:val="00656FA4"/>
    <w:rsid w:val="006B2787"/>
    <w:rsid w:val="006C17FE"/>
    <w:rsid w:val="006E5BB9"/>
    <w:rsid w:val="006E6F38"/>
    <w:rsid w:val="006F49EF"/>
    <w:rsid w:val="00741ACD"/>
    <w:rsid w:val="00780F09"/>
    <w:rsid w:val="007D719E"/>
    <w:rsid w:val="007E2FC9"/>
    <w:rsid w:val="00830C9D"/>
    <w:rsid w:val="00896655"/>
    <w:rsid w:val="008B3553"/>
    <w:rsid w:val="008F35F0"/>
    <w:rsid w:val="00957FC8"/>
    <w:rsid w:val="009628F6"/>
    <w:rsid w:val="00966D7A"/>
    <w:rsid w:val="00975135"/>
    <w:rsid w:val="00986469"/>
    <w:rsid w:val="009A1827"/>
    <w:rsid w:val="00A21206"/>
    <w:rsid w:val="00A31195"/>
    <w:rsid w:val="00A647AD"/>
    <w:rsid w:val="00A728DB"/>
    <w:rsid w:val="00A81382"/>
    <w:rsid w:val="00A952BA"/>
    <w:rsid w:val="00AC354D"/>
    <w:rsid w:val="00AE3754"/>
    <w:rsid w:val="00AE56C5"/>
    <w:rsid w:val="00B11FCD"/>
    <w:rsid w:val="00B23EAE"/>
    <w:rsid w:val="00BC2F31"/>
    <w:rsid w:val="00BD6B82"/>
    <w:rsid w:val="00C214EA"/>
    <w:rsid w:val="00C42778"/>
    <w:rsid w:val="00C6165B"/>
    <w:rsid w:val="00CB08F2"/>
    <w:rsid w:val="00DC564F"/>
    <w:rsid w:val="00DE2264"/>
    <w:rsid w:val="00E00673"/>
    <w:rsid w:val="00E20F09"/>
    <w:rsid w:val="00E27C82"/>
    <w:rsid w:val="00E933C0"/>
    <w:rsid w:val="00EA727D"/>
    <w:rsid w:val="00EA78F3"/>
    <w:rsid w:val="00EB5382"/>
    <w:rsid w:val="00ED3920"/>
    <w:rsid w:val="00F31059"/>
    <w:rsid w:val="00F31766"/>
    <w:rsid w:val="00F411C8"/>
    <w:rsid w:val="00F52A93"/>
    <w:rsid w:val="00FC15BD"/>
    <w:rsid w:val="00FD273D"/>
    <w:rsid w:val="00FD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82F9-81CC-4E27-94E0-04F6E688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7</cp:revision>
  <cp:lastPrinted>2023-10-03T08:48:00Z</cp:lastPrinted>
  <dcterms:created xsi:type="dcterms:W3CDTF">2023-02-02T09:14:00Z</dcterms:created>
  <dcterms:modified xsi:type="dcterms:W3CDTF">2023-10-20T10:19:00Z</dcterms:modified>
</cp:coreProperties>
</file>