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590F" w14:textId="6D48506F" w:rsidR="00660DF3" w:rsidRPr="00E1424B" w:rsidRDefault="00660DF3" w:rsidP="00660DF3">
      <w:pPr>
        <w:pStyle w:val="Tekstpodstawowy"/>
        <w:spacing w:line="360" w:lineRule="auto"/>
        <w:ind w:left="6372"/>
        <w:rPr>
          <w:sz w:val="22"/>
          <w:szCs w:val="22"/>
        </w:rPr>
      </w:pPr>
      <w:r w:rsidRPr="00E1424B">
        <w:rPr>
          <w:sz w:val="22"/>
          <w:szCs w:val="22"/>
        </w:rPr>
        <w:t xml:space="preserve">         Załącznik nr 2 do SWZ</w:t>
      </w:r>
    </w:p>
    <w:p w14:paraId="002A46BB" w14:textId="3D6F51C5" w:rsidR="00660DF3" w:rsidRPr="00E1424B" w:rsidRDefault="000E14AF" w:rsidP="00660DF3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ZP.272.1.51</w:t>
      </w:r>
      <w:r w:rsidR="00660DF3" w:rsidRPr="00E1424B">
        <w:rPr>
          <w:sz w:val="22"/>
          <w:szCs w:val="22"/>
        </w:rPr>
        <w:t>.202</w:t>
      </w:r>
      <w:r>
        <w:rPr>
          <w:sz w:val="22"/>
          <w:szCs w:val="22"/>
        </w:rPr>
        <w:t>5</w:t>
      </w:r>
    </w:p>
    <w:p w14:paraId="2D176CA6" w14:textId="77777777" w:rsidR="00BA503B" w:rsidRPr="00E1424B" w:rsidRDefault="00BA503B" w:rsidP="00BA503B">
      <w:pPr>
        <w:spacing w:line="276" w:lineRule="auto"/>
        <w:rPr>
          <w:sz w:val="22"/>
          <w:szCs w:val="22"/>
        </w:rPr>
      </w:pPr>
    </w:p>
    <w:p w14:paraId="7DD3176D" w14:textId="7F927CB3" w:rsidR="00BA503B" w:rsidRPr="000E14AF" w:rsidRDefault="000E14AF" w:rsidP="00330E0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0E14AF">
        <w:rPr>
          <w:b/>
          <w:sz w:val="22"/>
          <w:szCs w:val="22"/>
          <w:u w:val="single"/>
        </w:rPr>
        <w:t>SZCZEGÓŁOWY OPIS PRZEDMIOTU ZAMÓWIENIA</w:t>
      </w:r>
    </w:p>
    <w:p w14:paraId="2EEC9D55" w14:textId="3A1B2035" w:rsidR="0027369B" w:rsidRPr="00E1424B" w:rsidRDefault="0027369B" w:rsidP="00330E03">
      <w:pPr>
        <w:rPr>
          <w:sz w:val="22"/>
          <w:szCs w:val="22"/>
        </w:rPr>
      </w:pPr>
    </w:p>
    <w:p w14:paraId="69DC8DF0" w14:textId="5D547F0E" w:rsidR="00E1424B" w:rsidRPr="00E1424B" w:rsidRDefault="00E1424B" w:rsidP="00E1424B">
      <w:pPr>
        <w:spacing w:line="276" w:lineRule="auto"/>
        <w:jc w:val="both"/>
        <w:rPr>
          <w:b/>
          <w:bCs/>
          <w:sz w:val="22"/>
          <w:szCs w:val="22"/>
          <w:lang w:val="cs-CZ"/>
        </w:rPr>
      </w:pPr>
      <w:r w:rsidRPr="00E1424B">
        <w:rPr>
          <w:bCs/>
          <w:sz w:val="22"/>
          <w:szCs w:val="22"/>
        </w:rPr>
        <w:t xml:space="preserve">Przedmiotem zamówienia jest usługa polegająca na promocji Województwa Warmińsko-Mazurskiego podczas </w:t>
      </w:r>
      <w:r w:rsidRPr="00E1424B">
        <w:rPr>
          <w:b/>
          <w:bCs/>
          <w:sz w:val="22"/>
          <w:szCs w:val="22"/>
          <w:lang w:val="cs-CZ"/>
        </w:rPr>
        <w:t>turnieju piłki siatkowej Beach Pro Tour Challenge, k</w:t>
      </w:r>
      <w:r w:rsidR="000E14AF">
        <w:rPr>
          <w:b/>
          <w:bCs/>
          <w:sz w:val="22"/>
          <w:szCs w:val="22"/>
          <w:lang w:val="cs-CZ"/>
        </w:rPr>
        <w:t xml:space="preserve">tóry odbędzie się w dniach od 26 - </w:t>
      </w:r>
      <w:r w:rsidRPr="00E1424B">
        <w:rPr>
          <w:b/>
          <w:bCs/>
          <w:sz w:val="22"/>
          <w:szCs w:val="22"/>
          <w:lang w:val="cs-CZ"/>
        </w:rPr>
        <w:t>2</w:t>
      </w:r>
      <w:r w:rsidR="000E14AF">
        <w:rPr>
          <w:b/>
          <w:bCs/>
          <w:sz w:val="22"/>
          <w:szCs w:val="22"/>
          <w:lang w:val="cs-CZ"/>
        </w:rPr>
        <w:t>9 czerwca 2025</w:t>
      </w:r>
      <w:r w:rsidRPr="00E1424B">
        <w:rPr>
          <w:b/>
          <w:bCs/>
          <w:sz w:val="22"/>
          <w:szCs w:val="22"/>
          <w:lang w:val="cs-CZ"/>
        </w:rPr>
        <w:t xml:space="preserve"> roku w Starych Jabłonkach</w:t>
      </w:r>
      <w:r w:rsidRPr="00E1424B">
        <w:rPr>
          <w:bCs/>
          <w:sz w:val="22"/>
          <w:szCs w:val="22"/>
        </w:rPr>
        <w:t>, w szczególności poprzez:</w:t>
      </w:r>
    </w:p>
    <w:p w14:paraId="4D3E32F0" w14:textId="77777777" w:rsidR="00E1424B" w:rsidRPr="00E1424B" w:rsidRDefault="00E1424B" w:rsidP="00E1424B">
      <w:pPr>
        <w:spacing w:line="276" w:lineRule="auto"/>
        <w:jc w:val="both"/>
        <w:rPr>
          <w:bCs/>
          <w:sz w:val="22"/>
          <w:szCs w:val="22"/>
        </w:rPr>
      </w:pPr>
    </w:p>
    <w:p w14:paraId="7B42D2E7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nadanie Województwu tytułu „Partnera” organizowanego przez Wykonawcę turnieju oraz zapewnienie tytularności imprezy poprzez dodanie w nazwie turnieju słów związanych z województwem – do ustalenia z Zamawiającym;</w:t>
      </w:r>
    </w:p>
    <w:p w14:paraId="4DA1F1C9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ekspozycję symbolu Warmia-Mazury na 8 banerach reklamowych/bandach </w:t>
      </w:r>
      <w:proofErr w:type="spellStart"/>
      <w:r w:rsidRPr="000E14AF">
        <w:rPr>
          <w:bCs/>
          <w:sz w:val="22"/>
          <w:szCs w:val="22"/>
        </w:rPr>
        <w:t>led</w:t>
      </w:r>
      <w:proofErr w:type="spellEnd"/>
      <w:r w:rsidRPr="000E14AF">
        <w:rPr>
          <w:bCs/>
          <w:sz w:val="22"/>
          <w:szCs w:val="22"/>
        </w:rPr>
        <w:t xml:space="preserve"> o wymiarach min. 3 m x 1 m (produkcja banerów/band na koszt Wykonawcy) w widocznych dla kibiców i mediów miejscach podczas meczów rozgrywanych na boisku głównym (telewizyjnym) w trakcie turnieju. Wykonawca zapewnia transmisję turnieju w ogólnopolskim kanale sportowym - co najmniej 8 meczy;</w:t>
      </w:r>
    </w:p>
    <w:p w14:paraId="58C58E40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ekspozycję symbolu Warmia-Mazury na 10 banerach reklamowych/bandach </w:t>
      </w:r>
      <w:proofErr w:type="spellStart"/>
      <w:r w:rsidRPr="000E14AF">
        <w:rPr>
          <w:bCs/>
          <w:sz w:val="22"/>
          <w:szCs w:val="22"/>
        </w:rPr>
        <w:t>led</w:t>
      </w:r>
      <w:proofErr w:type="spellEnd"/>
      <w:r w:rsidRPr="000E14AF">
        <w:rPr>
          <w:bCs/>
          <w:sz w:val="22"/>
          <w:szCs w:val="22"/>
        </w:rPr>
        <w:t xml:space="preserve"> o wymiarach min 3 m x 1 m (produkcja banerów/band na koszt Wykonawcy) podczas meczów na boiskach bocznych oraz na terenie organizacji turnieju; </w:t>
      </w:r>
    </w:p>
    <w:p w14:paraId="2DEF0C1C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umieszczenie symbolu Warmia-Mazury o wymiarach co najmniej 10 x 10 cm na koszulkach zawodników, w których będą grać podczas turnieju,</w:t>
      </w:r>
    </w:p>
    <w:p w14:paraId="46B0665D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emisję dźwiękowego spotu radiowego o długości do 20 s. na boisku głównym podczas turnieju,</w:t>
      </w:r>
    </w:p>
    <w:p w14:paraId="7853CF9B" w14:textId="071FA13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emisję reklamy Województwa Warmińsko-Mazurskiego o długości co najmniej 15 sekund 2 razy na godzinę na telebimie umieszczonym na boisku głównym,</w:t>
      </w:r>
    </w:p>
    <w:p w14:paraId="425054A3" w14:textId="682F47F6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umieszczenie symbolu War</w:t>
      </w:r>
      <w:r w:rsidRPr="000E14AF">
        <w:rPr>
          <w:bCs/>
          <w:sz w:val="22"/>
          <w:szCs w:val="22"/>
        </w:rPr>
        <w:t>mia-Mazury o wymiarach co najmniej 15x10 cm na bramach wejściowych w miejscu turnieju,</w:t>
      </w:r>
    </w:p>
    <w:p w14:paraId="1ECBB746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umieszczenie symbolu Warmia-Mazury na wszystkich materiałach poligraficznych, związanych </w:t>
      </w:r>
      <w:r w:rsidRPr="000E14AF">
        <w:rPr>
          <w:bCs/>
          <w:sz w:val="22"/>
          <w:szCs w:val="22"/>
        </w:rPr>
        <w:br/>
        <w:t>z Turniejem (plakaty, zaproszenia, akredytacje, bilety wstępu, itp.),</w:t>
      </w:r>
    </w:p>
    <w:p w14:paraId="0842CBE7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umieszczenie na ściance konferencyjnej (używanej w czasie trwania turnieju) symbolu Warmia-Mazury (symbol musi zajmować minimum 10% powierzchni ścianki);</w:t>
      </w:r>
    </w:p>
    <w:p w14:paraId="05951DBC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umieszczenie symbolu Warmia-Mazury na stronie internetowej i oficjalnym profilu turnieju w mediach społecznościowych oraz umieszczenie dwóch postów promujących walory turystyczne regionu (treść do uzgodnienia z Zamawiającym),</w:t>
      </w:r>
    </w:p>
    <w:p w14:paraId="44A26D58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umożliwienie uczestnictwa przedstawiciela Samorządu Województwa Warmińsko-Mazurskiego podczas ceremonii otwarcia, konferencji prasowych i wręczania nagród podczas turnieju;</w:t>
      </w:r>
    </w:p>
    <w:p w14:paraId="26499DB7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przekazanie do dyspozycji Województwa 20 karnetów pozwalających na dostęp do strefy VIP podczas turnieju;</w:t>
      </w:r>
    </w:p>
    <w:p w14:paraId="713439AA" w14:textId="77777777" w:rsidR="000E14AF" w:rsidRPr="000E14AF" w:rsidRDefault="000E14AF" w:rsidP="000E14AF">
      <w:pPr>
        <w:numPr>
          <w:ilvl w:val="0"/>
          <w:numId w:val="12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przekazanie Zamawiającemu zestawu minimum 20 zdjęć z prawami autorskimi, </w:t>
      </w:r>
      <w:r w:rsidRPr="000E14AF">
        <w:rPr>
          <w:bCs/>
          <w:sz w:val="22"/>
          <w:szCs w:val="22"/>
        </w:rPr>
        <w:br/>
        <w:t xml:space="preserve">w wysokiej rozdzielczości (minimalna rozdzielczość fotografii musi wynosić 250 </w:t>
      </w:r>
      <w:proofErr w:type="spellStart"/>
      <w:r w:rsidRPr="000E14AF">
        <w:rPr>
          <w:bCs/>
          <w:sz w:val="22"/>
          <w:szCs w:val="22"/>
        </w:rPr>
        <w:t>dpi</w:t>
      </w:r>
      <w:proofErr w:type="spellEnd"/>
      <w:r w:rsidRPr="000E14AF">
        <w:rPr>
          <w:bCs/>
          <w:sz w:val="22"/>
          <w:szCs w:val="22"/>
        </w:rPr>
        <w:t xml:space="preserve">, dłuższy bok fotografii powinien mieć nie mniej niż 4 000 </w:t>
      </w:r>
      <w:proofErr w:type="spellStart"/>
      <w:r w:rsidRPr="000E14AF">
        <w:rPr>
          <w:bCs/>
          <w:sz w:val="22"/>
          <w:szCs w:val="22"/>
        </w:rPr>
        <w:t>pixeli</w:t>
      </w:r>
      <w:proofErr w:type="spellEnd"/>
      <w:r w:rsidRPr="000E14AF">
        <w:rPr>
          <w:bCs/>
          <w:sz w:val="22"/>
          <w:szCs w:val="22"/>
        </w:rPr>
        <w:t>), bez znaków wodnych, z dowolnym ujęciem zawodnika/zawodników i widocznym symbolem Warmia-Mazury (przekazanie drogą internetową) i 4 materiałów filmowych (do 1 min.) eksponujących symbol Warmia-Mazury podczas turnieju z prawem do ich wykorzystania w mediach społecznościowych, przekazach medialnych i materiałach reklamowych Zamawiającego.</w:t>
      </w:r>
    </w:p>
    <w:p w14:paraId="7B9513D5" w14:textId="77777777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</w:p>
    <w:p w14:paraId="635E190C" w14:textId="270A95BC" w:rsidR="002D481B" w:rsidRPr="00812125" w:rsidRDefault="002D481B" w:rsidP="002D481B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812125">
        <w:rPr>
          <w:bCs/>
          <w:sz w:val="22"/>
          <w:szCs w:val="22"/>
        </w:rPr>
        <w:t xml:space="preserve">Wykonawca zobowiązuje się do zrealizowania przedmiotu umowy w sposób zapewniający </w:t>
      </w:r>
      <w:r w:rsidRPr="00812125">
        <w:rPr>
          <w:bCs/>
          <w:sz w:val="22"/>
          <w:szCs w:val="22"/>
        </w:rPr>
        <w:br/>
        <w:t xml:space="preserve"> dostępność osobom ze szczególnymi potrzebami w rozumieniu ustawy z dnia 19 lipca 2019</w:t>
      </w:r>
      <w:r>
        <w:rPr>
          <w:bCs/>
          <w:sz w:val="22"/>
          <w:szCs w:val="22"/>
        </w:rPr>
        <w:t xml:space="preserve"> </w:t>
      </w:r>
      <w:r w:rsidRPr="00812125">
        <w:rPr>
          <w:bCs/>
          <w:sz w:val="22"/>
          <w:szCs w:val="22"/>
        </w:rPr>
        <w:t xml:space="preserve">r. o </w:t>
      </w:r>
      <w:r w:rsidRPr="00812125">
        <w:rPr>
          <w:bCs/>
          <w:sz w:val="22"/>
          <w:szCs w:val="22"/>
        </w:rPr>
        <w:br/>
        <w:t xml:space="preserve"> zapewnianiu dost</w:t>
      </w:r>
      <w:bookmarkStart w:id="0" w:name="_GoBack"/>
      <w:bookmarkEnd w:id="0"/>
      <w:r w:rsidRPr="00812125">
        <w:rPr>
          <w:bCs/>
          <w:sz w:val="22"/>
          <w:szCs w:val="22"/>
        </w:rPr>
        <w:t xml:space="preserve">ępności osobom ze szczególnymi potrzebami (Dz.U. z 2022 r. poz. 2240 </w:t>
      </w:r>
      <w:proofErr w:type="spellStart"/>
      <w:r w:rsidRPr="00812125">
        <w:rPr>
          <w:bCs/>
          <w:sz w:val="22"/>
          <w:szCs w:val="22"/>
        </w:rPr>
        <w:t>t.j</w:t>
      </w:r>
      <w:proofErr w:type="spellEnd"/>
      <w:r w:rsidRPr="00812125">
        <w:rPr>
          <w:bCs/>
          <w:sz w:val="22"/>
          <w:szCs w:val="22"/>
        </w:rPr>
        <w:t xml:space="preserve">.) i w </w:t>
      </w:r>
      <w:r>
        <w:rPr>
          <w:bCs/>
          <w:sz w:val="22"/>
          <w:szCs w:val="22"/>
        </w:rPr>
        <w:t xml:space="preserve">tym </w:t>
      </w:r>
      <w:r w:rsidRPr="00812125">
        <w:rPr>
          <w:bCs/>
          <w:sz w:val="22"/>
          <w:szCs w:val="22"/>
        </w:rPr>
        <w:lastRenderedPageBreak/>
        <w:t>celu przy realizacji przedmiotu umowy zobowiązuje się zastosować racjonalne us</w:t>
      </w:r>
      <w:r>
        <w:rPr>
          <w:bCs/>
          <w:sz w:val="22"/>
          <w:szCs w:val="22"/>
        </w:rPr>
        <w:t xml:space="preserve">prawnienia, rozumiane </w:t>
      </w:r>
      <w:r w:rsidRPr="00812125">
        <w:rPr>
          <w:bCs/>
          <w:sz w:val="22"/>
          <w:szCs w:val="22"/>
        </w:rPr>
        <w:t>jako konieczne i odpowiednie zmiany i dostosowania, nie nakładające</w:t>
      </w:r>
      <w:r>
        <w:rPr>
          <w:bCs/>
          <w:sz w:val="22"/>
          <w:szCs w:val="22"/>
        </w:rPr>
        <w:t xml:space="preserve"> nieproporcjonalnego lub </w:t>
      </w:r>
      <w:r w:rsidRPr="00812125">
        <w:rPr>
          <w:bCs/>
          <w:sz w:val="22"/>
          <w:szCs w:val="22"/>
        </w:rPr>
        <w:t>nadmiernego obciążenia, jeśli jest to potrzebne w konkretnym przyp</w:t>
      </w:r>
      <w:r>
        <w:rPr>
          <w:bCs/>
          <w:sz w:val="22"/>
          <w:szCs w:val="22"/>
        </w:rPr>
        <w:t xml:space="preserve">adku w celu zapewnienia  </w:t>
      </w:r>
      <w:r w:rsidRPr="00812125">
        <w:rPr>
          <w:bCs/>
          <w:sz w:val="22"/>
          <w:szCs w:val="22"/>
        </w:rPr>
        <w:t>dostępności  osobom ze szczególnymi potrzebami.</w:t>
      </w:r>
    </w:p>
    <w:p w14:paraId="08728BAD" w14:textId="77777777" w:rsidR="002D481B" w:rsidRDefault="002D481B" w:rsidP="002D481B">
      <w:pPr>
        <w:spacing w:line="276" w:lineRule="auto"/>
        <w:jc w:val="both"/>
        <w:rPr>
          <w:bCs/>
          <w:sz w:val="22"/>
          <w:szCs w:val="22"/>
        </w:rPr>
      </w:pPr>
    </w:p>
    <w:p w14:paraId="699D2D8C" w14:textId="0E8E6983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>Zamawiający nie ponosi żadnych dodatkowych kosztów związanych z realizacją przedmiotu umowy. Ewentualne koszty pracy grafików oraz inne koszty związane z realizacją przedmiotu umowy ponosi Wykonawca.</w:t>
      </w:r>
    </w:p>
    <w:p w14:paraId="4DE936C4" w14:textId="77777777" w:rsidR="000E14AF" w:rsidRPr="000E14AF" w:rsidRDefault="000E14AF" w:rsidP="000E14AF">
      <w:pPr>
        <w:spacing w:line="276" w:lineRule="auto"/>
        <w:jc w:val="both"/>
        <w:rPr>
          <w:bCs/>
          <w:i/>
          <w:iCs/>
          <w:sz w:val="22"/>
          <w:szCs w:val="22"/>
        </w:rPr>
      </w:pPr>
    </w:p>
    <w:p w14:paraId="06E6CE0E" w14:textId="77777777" w:rsidR="000E14AF" w:rsidRPr="000E14AF" w:rsidRDefault="000E14AF" w:rsidP="000E14AF">
      <w:pPr>
        <w:spacing w:line="276" w:lineRule="auto"/>
        <w:jc w:val="both"/>
        <w:rPr>
          <w:bCs/>
          <w:i/>
          <w:iCs/>
          <w:sz w:val="22"/>
          <w:szCs w:val="22"/>
        </w:rPr>
      </w:pPr>
      <w:r w:rsidRPr="000E14AF">
        <w:rPr>
          <w:bCs/>
          <w:iCs/>
          <w:sz w:val="22"/>
          <w:szCs w:val="22"/>
        </w:rPr>
        <w:t>Projekty wszelkich materiałów wytworzonych na potrzeby realizacji usługi, w których zostanie użyty symbol Warmia-Mazury, muszą zostać zaakceptowane przez Województwo przed ich emisją/drukiem. Symbol w tych materiałach musi zostać użyty zgodnie z zasadami opisanymi w Księdze Identyfikacji Wizualnej (KIW) Województwa Warmińsko-Mazurskiego</w:t>
      </w:r>
      <w:r w:rsidRPr="000E14AF">
        <w:rPr>
          <w:bCs/>
          <w:i/>
          <w:iCs/>
          <w:sz w:val="22"/>
          <w:szCs w:val="22"/>
        </w:rPr>
        <w:t>.</w:t>
      </w:r>
    </w:p>
    <w:p w14:paraId="5F7BA22F" w14:textId="77777777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</w:p>
    <w:p w14:paraId="2509E0A2" w14:textId="77777777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Katalog zasad (KIW) dotyczący użycia symbolu Warmia-Mazury znajduje się na stronie internetowej Województwa w zakładce: Turystyka i promocja – Promocja regionu – System identyfikacji wizualnej Księga Identyfikacji Wizualnej Województwa Warmińsko-Mazurskiego:  </w:t>
      </w:r>
    </w:p>
    <w:p w14:paraId="06FB6E7D" w14:textId="77777777" w:rsidR="000E14AF" w:rsidRPr="000E14AF" w:rsidRDefault="009911FD" w:rsidP="000E14AF">
      <w:pPr>
        <w:spacing w:line="276" w:lineRule="auto"/>
        <w:jc w:val="both"/>
        <w:rPr>
          <w:bCs/>
          <w:sz w:val="22"/>
          <w:szCs w:val="22"/>
        </w:rPr>
      </w:pPr>
      <w:hyperlink r:id="rId7" w:history="1">
        <w:r w:rsidR="000E14AF" w:rsidRPr="000E14AF">
          <w:rPr>
            <w:rStyle w:val="Hipercze"/>
            <w:bCs/>
            <w:sz w:val="22"/>
            <w:szCs w:val="22"/>
          </w:rPr>
          <w:t>https://warmia.mazury.pl/turystyka-i-promocja/promocja-regionu/system-identyfikacji-wizualnej</w:t>
        </w:r>
      </w:hyperlink>
      <w:r w:rsidR="000E14AF" w:rsidRPr="000E14AF">
        <w:rPr>
          <w:bCs/>
          <w:sz w:val="22"/>
          <w:szCs w:val="22"/>
        </w:rPr>
        <w:t>.</w:t>
      </w:r>
    </w:p>
    <w:p w14:paraId="76CA5765" w14:textId="77777777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</w:p>
    <w:p w14:paraId="4B87C16A" w14:textId="77777777" w:rsidR="000E14AF" w:rsidRPr="000E14AF" w:rsidRDefault="000E14AF" w:rsidP="000E14AF">
      <w:pPr>
        <w:spacing w:line="276" w:lineRule="auto"/>
        <w:jc w:val="both"/>
        <w:rPr>
          <w:bCs/>
          <w:sz w:val="22"/>
          <w:szCs w:val="22"/>
        </w:rPr>
      </w:pPr>
      <w:r w:rsidRPr="000E14AF">
        <w:rPr>
          <w:bCs/>
          <w:sz w:val="22"/>
          <w:szCs w:val="22"/>
        </w:rPr>
        <w:t xml:space="preserve">Symbole do pobrania ze strony: </w:t>
      </w:r>
    </w:p>
    <w:p w14:paraId="3213E5F0" w14:textId="77777777" w:rsidR="000E14AF" w:rsidRPr="000E14AF" w:rsidRDefault="009911FD" w:rsidP="000E14AF">
      <w:pPr>
        <w:spacing w:line="276" w:lineRule="auto"/>
        <w:jc w:val="both"/>
        <w:rPr>
          <w:bCs/>
          <w:sz w:val="22"/>
          <w:szCs w:val="22"/>
        </w:rPr>
      </w:pPr>
      <w:hyperlink r:id="rId8" w:history="1">
        <w:r w:rsidR="000E14AF" w:rsidRPr="000E14AF">
          <w:rPr>
            <w:rStyle w:val="Hipercze"/>
            <w:bCs/>
            <w:sz w:val="22"/>
            <w:szCs w:val="22"/>
          </w:rPr>
          <w:t>https://warmia.mazury.pl/turystyka-i-promocja/promocja-regionu/logotypy-do-pobrania</w:t>
        </w:r>
      </w:hyperlink>
      <w:r w:rsidR="000E14AF" w:rsidRPr="000E14AF">
        <w:rPr>
          <w:bCs/>
          <w:sz w:val="22"/>
          <w:szCs w:val="22"/>
        </w:rPr>
        <w:t>.</w:t>
      </w:r>
    </w:p>
    <w:p w14:paraId="40608838" w14:textId="032C2283" w:rsidR="00E1424B" w:rsidRPr="000E14AF" w:rsidRDefault="00E1424B" w:rsidP="00E1424B">
      <w:pPr>
        <w:spacing w:line="276" w:lineRule="auto"/>
        <w:jc w:val="both"/>
        <w:rPr>
          <w:bCs/>
          <w:sz w:val="22"/>
          <w:szCs w:val="22"/>
        </w:rPr>
      </w:pPr>
    </w:p>
    <w:p w14:paraId="4F34B3EF" w14:textId="10C52758" w:rsidR="00E1424B" w:rsidRPr="000E14AF" w:rsidRDefault="00E1424B" w:rsidP="00E1424B">
      <w:pPr>
        <w:spacing w:line="276" w:lineRule="auto"/>
        <w:jc w:val="both"/>
        <w:rPr>
          <w:bCs/>
          <w:sz w:val="22"/>
          <w:szCs w:val="22"/>
        </w:rPr>
      </w:pPr>
    </w:p>
    <w:p w14:paraId="76832405" w14:textId="6FDB0450" w:rsidR="00E1424B" w:rsidRPr="00E1424B" w:rsidRDefault="00E1424B" w:rsidP="00E1424B">
      <w:pPr>
        <w:spacing w:line="276" w:lineRule="auto"/>
        <w:jc w:val="both"/>
        <w:rPr>
          <w:bCs/>
          <w:sz w:val="22"/>
          <w:szCs w:val="22"/>
        </w:rPr>
      </w:pPr>
    </w:p>
    <w:p w14:paraId="49BC470F" w14:textId="5EE810F6" w:rsidR="00206A85" w:rsidRPr="00E1424B" w:rsidRDefault="00206A85" w:rsidP="002E2E95">
      <w:pPr>
        <w:spacing w:line="276" w:lineRule="auto"/>
        <w:jc w:val="both"/>
        <w:rPr>
          <w:bCs/>
          <w:sz w:val="22"/>
          <w:szCs w:val="22"/>
        </w:rPr>
      </w:pPr>
    </w:p>
    <w:sectPr w:rsidR="00206A85" w:rsidRPr="00E1424B" w:rsidSect="0027369B">
      <w:footerReference w:type="default" r:id="rId9"/>
      <w:pgSz w:w="11906" w:h="16838"/>
      <w:pgMar w:top="1417" w:right="1417" w:bottom="426" w:left="1417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76B0E" w14:textId="77777777" w:rsidR="009911FD" w:rsidRDefault="009911FD">
      <w:r>
        <w:separator/>
      </w:r>
    </w:p>
  </w:endnote>
  <w:endnote w:type="continuationSeparator" w:id="0">
    <w:p w14:paraId="76BE02B2" w14:textId="77777777" w:rsidR="009911FD" w:rsidRDefault="0099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E45E" w14:textId="28D28E0B" w:rsidR="002E7161" w:rsidRPr="00D53719" w:rsidRDefault="00330E03">
    <w:pPr>
      <w:pStyle w:val="Stopka"/>
      <w:jc w:val="right"/>
      <w:rPr>
        <w:rFonts w:ascii="Arial" w:hAnsi="Arial" w:cs="Arial"/>
        <w:sz w:val="18"/>
        <w:szCs w:val="18"/>
      </w:rPr>
    </w:pPr>
    <w:r w:rsidRPr="00D53719">
      <w:rPr>
        <w:rFonts w:ascii="Arial" w:hAnsi="Arial" w:cs="Arial"/>
        <w:sz w:val="18"/>
        <w:szCs w:val="18"/>
      </w:rPr>
      <w:fldChar w:fldCharType="begin"/>
    </w:r>
    <w:r w:rsidRPr="00D53719">
      <w:rPr>
        <w:rFonts w:ascii="Arial" w:hAnsi="Arial" w:cs="Arial"/>
        <w:sz w:val="18"/>
        <w:szCs w:val="18"/>
      </w:rPr>
      <w:instrText>PAGE   \* MERGEFORMAT</w:instrText>
    </w:r>
    <w:r w:rsidRPr="00D53719">
      <w:rPr>
        <w:rFonts w:ascii="Arial" w:hAnsi="Arial" w:cs="Arial"/>
        <w:sz w:val="18"/>
        <w:szCs w:val="18"/>
      </w:rPr>
      <w:fldChar w:fldCharType="separate"/>
    </w:r>
    <w:r w:rsidR="002D481B">
      <w:rPr>
        <w:rFonts w:ascii="Arial" w:hAnsi="Arial" w:cs="Arial"/>
        <w:noProof/>
        <w:sz w:val="18"/>
        <w:szCs w:val="18"/>
      </w:rPr>
      <w:t>1</w:t>
    </w:r>
    <w:r w:rsidRPr="00D53719">
      <w:rPr>
        <w:rFonts w:ascii="Arial" w:hAnsi="Arial" w:cs="Arial"/>
        <w:sz w:val="18"/>
        <w:szCs w:val="18"/>
      </w:rPr>
      <w:fldChar w:fldCharType="end"/>
    </w:r>
  </w:p>
  <w:p w14:paraId="5BD0BAFF" w14:textId="77777777" w:rsidR="002E7161" w:rsidRDefault="0099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F2311" w14:textId="77777777" w:rsidR="009911FD" w:rsidRDefault="009911FD">
      <w:r>
        <w:separator/>
      </w:r>
    </w:p>
  </w:footnote>
  <w:footnote w:type="continuationSeparator" w:id="0">
    <w:p w14:paraId="02BBF52A" w14:textId="77777777" w:rsidR="009911FD" w:rsidRDefault="0099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41205"/>
    <w:multiLevelType w:val="hybridMultilevel"/>
    <w:tmpl w:val="4B94F0E4"/>
    <w:lvl w:ilvl="0" w:tplc="F738CD8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870949"/>
    <w:multiLevelType w:val="hybridMultilevel"/>
    <w:tmpl w:val="CFF0E86A"/>
    <w:lvl w:ilvl="0" w:tplc="BDA04D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63D93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E9428E"/>
    <w:multiLevelType w:val="hybridMultilevel"/>
    <w:tmpl w:val="44A27E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D06804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DD6AF8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98617F"/>
    <w:multiLevelType w:val="hybridMultilevel"/>
    <w:tmpl w:val="4D6C8FE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1194D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8D4D6F"/>
    <w:multiLevelType w:val="multilevel"/>
    <w:tmpl w:val="BF0012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3CFD757D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CF0EE2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1D2B56"/>
    <w:multiLevelType w:val="hybridMultilevel"/>
    <w:tmpl w:val="59440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C5F69"/>
    <w:multiLevelType w:val="hybridMultilevel"/>
    <w:tmpl w:val="25D029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653855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8B06DA"/>
    <w:multiLevelType w:val="hybridMultilevel"/>
    <w:tmpl w:val="37786FD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2AD1A47"/>
    <w:multiLevelType w:val="hybridMultilevel"/>
    <w:tmpl w:val="76C84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17EF4"/>
    <w:multiLevelType w:val="hybridMultilevel"/>
    <w:tmpl w:val="3772A0F0"/>
    <w:lvl w:ilvl="0" w:tplc="B656B08C">
      <w:start w:val="1"/>
      <w:numFmt w:val="decimal"/>
      <w:lvlText w:val="%1."/>
      <w:lvlJc w:val="left"/>
      <w:pPr>
        <w:ind w:left="1414" w:hanging="435"/>
        <w:jc w:val="right"/>
      </w:pPr>
      <w:rPr>
        <w:rFonts w:hint="default"/>
        <w:spacing w:val="-1"/>
        <w:w w:val="109"/>
        <w:lang w:val="pl-PL" w:eastAsia="en-US" w:bidi="ar-SA"/>
      </w:rPr>
    </w:lvl>
    <w:lvl w:ilvl="1" w:tplc="5CAA6314">
      <w:start w:val="1"/>
      <w:numFmt w:val="decimal"/>
      <w:lvlText w:val="%2)"/>
      <w:lvlJc w:val="left"/>
      <w:pPr>
        <w:ind w:left="1836" w:hanging="365"/>
      </w:pPr>
      <w:rPr>
        <w:rFonts w:hint="default"/>
        <w:spacing w:val="-1"/>
        <w:w w:val="105"/>
        <w:lang w:val="pl-PL" w:eastAsia="en-US" w:bidi="ar-SA"/>
      </w:rPr>
    </w:lvl>
    <w:lvl w:ilvl="2" w:tplc="925C3B04">
      <w:numFmt w:val="bullet"/>
      <w:lvlText w:val="•"/>
      <w:lvlJc w:val="left"/>
      <w:pPr>
        <w:ind w:left="1700" w:hanging="365"/>
      </w:pPr>
      <w:rPr>
        <w:rFonts w:hint="default"/>
        <w:lang w:val="pl-PL" w:eastAsia="en-US" w:bidi="ar-SA"/>
      </w:rPr>
    </w:lvl>
    <w:lvl w:ilvl="3" w:tplc="7884FFCE">
      <w:numFmt w:val="bullet"/>
      <w:lvlText w:val="•"/>
      <w:lvlJc w:val="left"/>
      <w:pPr>
        <w:ind w:left="1840" w:hanging="365"/>
      </w:pPr>
      <w:rPr>
        <w:rFonts w:hint="default"/>
        <w:lang w:val="pl-PL" w:eastAsia="en-US" w:bidi="ar-SA"/>
      </w:rPr>
    </w:lvl>
    <w:lvl w:ilvl="4" w:tplc="4D80B7CC">
      <w:numFmt w:val="bullet"/>
      <w:lvlText w:val="•"/>
      <w:lvlJc w:val="left"/>
      <w:pPr>
        <w:ind w:left="1880" w:hanging="365"/>
      </w:pPr>
      <w:rPr>
        <w:rFonts w:hint="default"/>
        <w:lang w:val="pl-PL" w:eastAsia="en-US" w:bidi="ar-SA"/>
      </w:rPr>
    </w:lvl>
    <w:lvl w:ilvl="5" w:tplc="7D22130C">
      <w:numFmt w:val="bullet"/>
      <w:lvlText w:val="•"/>
      <w:lvlJc w:val="left"/>
      <w:pPr>
        <w:ind w:left="1980" w:hanging="365"/>
      </w:pPr>
      <w:rPr>
        <w:rFonts w:hint="default"/>
        <w:lang w:val="pl-PL" w:eastAsia="en-US" w:bidi="ar-SA"/>
      </w:rPr>
    </w:lvl>
    <w:lvl w:ilvl="6" w:tplc="F4D2A208">
      <w:numFmt w:val="bullet"/>
      <w:lvlText w:val="•"/>
      <w:lvlJc w:val="left"/>
      <w:pPr>
        <w:ind w:left="2060" w:hanging="365"/>
      </w:pPr>
      <w:rPr>
        <w:rFonts w:hint="default"/>
        <w:lang w:val="pl-PL" w:eastAsia="en-US" w:bidi="ar-SA"/>
      </w:rPr>
    </w:lvl>
    <w:lvl w:ilvl="7" w:tplc="9752A17A">
      <w:numFmt w:val="bullet"/>
      <w:lvlText w:val="•"/>
      <w:lvlJc w:val="left"/>
      <w:pPr>
        <w:ind w:left="2180" w:hanging="365"/>
      </w:pPr>
      <w:rPr>
        <w:rFonts w:hint="default"/>
        <w:lang w:val="pl-PL" w:eastAsia="en-US" w:bidi="ar-SA"/>
      </w:rPr>
    </w:lvl>
    <w:lvl w:ilvl="8" w:tplc="74E60290">
      <w:numFmt w:val="bullet"/>
      <w:lvlText w:val="•"/>
      <w:lvlJc w:val="left"/>
      <w:pPr>
        <w:ind w:left="2240" w:hanging="365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3"/>
  </w:num>
  <w:num w:numId="5">
    <w:abstractNumId w:val="7"/>
  </w:num>
  <w:num w:numId="6">
    <w:abstractNumId w:val="10"/>
  </w:num>
  <w:num w:numId="7">
    <w:abstractNumId w:val="2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15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77"/>
    <w:rsid w:val="0004595E"/>
    <w:rsid w:val="000E14AF"/>
    <w:rsid w:val="0014458B"/>
    <w:rsid w:val="00150FF8"/>
    <w:rsid w:val="00163DE5"/>
    <w:rsid w:val="00183DFF"/>
    <w:rsid w:val="00197856"/>
    <w:rsid w:val="001A467A"/>
    <w:rsid w:val="001E00B3"/>
    <w:rsid w:val="001F17D2"/>
    <w:rsid w:val="00206A85"/>
    <w:rsid w:val="00212620"/>
    <w:rsid w:val="0027369B"/>
    <w:rsid w:val="002A2D53"/>
    <w:rsid w:val="002D481B"/>
    <w:rsid w:val="002E2E95"/>
    <w:rsid w:val="00330E03"/>
    <w:rsid w:val="003E423A"/>
    <w:rsid w:val="0041026E"/>
    <w:rsid w:val="005129A2"/>
    <w:rsid w:val="00535FD7"/>
    <w:rsid w:val="005878EE"/>
    <w:rsid w:val="005C104E"/>
    <w:rsid w:val="005D78C0"/>
    <w:rsid w:val="00624FCF"/>
    <w:rsid w:val="00660DF3"/>
    <w:rsid w:val="00710BF4"/>
    <w:rsid w:val="00724F2E"/>
    <w:rsid w:val="00737139"/>
    <w:rsid w:val="00744409"/>
    <w:rsid w:val="0075072B"/>
    <w:rsid w:val="00760B21"/>
    <w:rsid w:val="00776765"/>
    <w:rsid w:val="00780330"/>
    <w:rsid w:val="00790E55"/>
    <w:rsid w:val="007B3258"/>
    <w:rsid w:val="007D6411"/>
    <w:rsid w:val="0084254A"/>
    <w:rsid w:val="00842EC7"/>
    <w:rsid w:val="008A3804"/>
    <w:rsid w:val="008C191E"/>
    <w:rsid w:val="008C5771"/>
    <w:rsid w:val="008E7479"/>
    <w:rsid w:val="00921F8E"/>
    <w:rsid w:val="00932777"/>
    <w:rsid w:val="00974A14"/>
    <w:rsid w:val="009911FD"/>
    <w:rsid w:val="00A344A9"/>
    <w:rsid w:val="00A45C7C"/>
    <w:rsid w:val="00A60999"/>
    <w:rsid w:val="00A927A2"/>
    <w:rsid w:val="00AD4B0E"/>
    <w:rsid w:val="00B029C8"/>
    <w:rsid w:val="00B86C78"/>
    <w:rsid w:val="00BA457D"/>
    <w:rsid w:val="00BA503B"/>
    <w:rsid w:val="00C11130"/>
    <w:rsid w:val="00C67C26"/>
    <w:rsid w:val="00C92800"/>
    <w:rsid w:val="00CF3C52"/>
    <w:rsid w:val="00DB230D"/>
    <w:rsid w:val="00DE1B6F"/>
    <w:rsid w:val="00DF20F4"/>
    <w:rsid w:val="00E1424B"/>
    <w:rsid w:val="00E15576"/>
    <w:rsid w:val="00E16E21"/>
    <w:rsid w:val="00E302E0"/>
    <w:rsid w:val="00E37142"/>
    <w:rsid w:val="00E42194"/>
    <w:rsid w:val="00E56DDC"/>
    <w:rsid w:val="00E87770"/>
    <w:rsid w:val="00EB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24AEC"/>
  <w15:chartTrackingRefBased/>
  <w15:docId w15:val="{8060631A-2D6A-405F-BFED-811D82E7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90E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E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E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E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E5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C9280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280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B093F"/>
    <w:rPr>
      <w:color w:val="954F72" w:themeColor="followedHyperlink"/>
      <w:u w:val="single"/>
    </w:rPr>
  </w:style>
  <w:style w:type="paragraph" w:styleId="Akapitzlist">
    <w:name w:val="List Paragraph"/>
    <w:aliases w:val="CW_Lista,maz_wyliczenie,opis dzialania,K-P_odwolanie,A_wyliczenie,Akapit z listą5,Preambuła"/>
    <w:basedOn w:val="Normalny"/>
    <w:link w:val="AkapitzlistZnak"/>
    <w:qFormat/>
    <w:rsid w:val="00535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30E0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30E0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73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6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"/>
    <w:basedOn w:val="Domylnaczcionkaakapitu"/>
    <w:link w:val="Akapitzlist"/>
    <w:uiPriority w:val="34"/>
    <w:qFormat/>
    <w:locked/>
    <w:rsid w:val="00A609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60DF3"/>
    <w:pPr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60DF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2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2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rmia.mazury.pl/turystyka-i-promocja/promocja-regionu/logotypy-do-pobra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armia.mazury.pl/turystyka-i-promocja/promocja-regionu/system-identyfikacji-wizualn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Ostrowska</cp:lastModifiedBy>
  <cp:revision>4</cp:revision>
  <cp:lastPrinted>2025-03-18T11:06:00Z</cp:lastPrinted>
  <dcterms:created xsi:type="dcterms:W3CDTF">2024-03-18T12:10:00Z</dcterms:created>
  <dcterms:modified xsi:type="dcterms:W3CDTF">2025-03-18T11:06:00Z</dcterms:modified>
</cp:coreProperties>
</file>