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3A92B8EB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0597D">
        <w:rPr>
          <w:rFonts w:ascii="Times New Roman" w:hAnsi="Times New Roman"/>
          <w:b/>
        </w:rPr>
        <w:t>Budowa wału przeciwpowodziowego wraz z zagospodarowaniem terenów nadpilicznych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074DD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BA271F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bookmarkStart w:id="1" w:name="_GoBack"/>
      <w:bookmarkEnd w:id="1"/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AC50709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074DD">
      <w:rPr>
        <w:rFonts w:ascii="Times New Roman" w:hAnsi="Times New Roman" w:cs="Times New Roman"/>
        <w:b/>
        <w:bCs/>
      </w:rPr>
      <w:t>1</w:t>
    </w:r>
    <w:r w:rsidR="00BA271F">
      <w:rPr>
        <w:rFonts w:ascii="Times New Roman" w:hAnsi="Times New Roman" w:cs="Times New Roman"/>
        <w:b/>
        <w:bCs/>
      </w:rPr>
      <w:t>6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16192C3-BD2A-48BC-86C2-663598C7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2021-09-28T08:48:00Z</cp:lastPrinted>
  <dcterms:created xsi:type="dcterms:W3CDTF">2022-06-28T06:49:00Z</dcterms:created>
  <dcterms:modified xsi:type="dcterms:W3CDTF">2022-08-16T07:52:00Z</dcterms:modified>
</cp:coreProperties>
</file>