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1A5E4" w14:textId="77777777" w:rsidR="006D5662" w:rsidRPr="007060F5" w:rsidRDefault="007060F5" w:rsidP="0001712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060F5">
        <w:rPr>
          <w:sz w:val="24"/>
          <w:szCs w:val="24"/>
        </w:rPr>
        <w:t>Załącznik nr 1</w:t>
      </w:r>
    </w:p>
    <w:p w14:paraId="4035F7D7" w14:textId="77777777" w:rsidR="006D5662" w:rsidRDefault="006D5662" w:rsidP="00017129">
      <w:pPr>
        <w:jc w:val="center"/>
        <w:rPr>
          <w:b/>
          <w:sz w:val="52"/>
        </w:rPr>
      </w:pPr>
    </w:p>
    <w:p w14:paraId="7171CF0A" w14:textId="77777777" w:rsidR="007060F5" w:rsidRDefault="007060F5" w:rsidP="00017129">
      <w:pPr>
        <w:jc w:val="center"/>
        <w:rPr>
          <w:b/>
          <w:sz w:val="52"/>
        </w:rPr>
      </w:pPr>
    </w:p>
    <w:p w14:paraId="3620ADF7" w14:textId="77777777" w:rsidR="007060F5" w:rsidRDefault="007060F5" w:rsidP="00017129">
      <w:pPr>
        <w:jc w:val="center"/>
        <w:rPr>
          <w:b/>
          <w:sz w:val="52"/>
        </w:rPr>
      </w:pPr>
    </w:p>
    <w:p w14:paraId="1EBEB5F9" w14:textId="77777777" w:rsidR="007060F5" w:rsidRDefault="007060F5" w:rsidP="00017129">
      <w:pPr>
        <w:jc w:val="center"/>
        <w:rPr>
          <w:b/>
          <w:sz w:val="52"/>
        </w:rPr>
      </w:pPr>
    </w:p>
    <w:p w14:paraId="1557D1C0" w14:textId="77777777" w:rsidR="007060F5" w:rsidRDefault="007060F5" w:rsidP="00017129">
      <w:pPr>
        <w:jc w:val="center"/>
        <w:rPr>
          <w:b/>
          <w:sz w:val="52"/>
        </w:rPr>
      </w:pPr>
    </w:p>
    <w:p w14:paraId="65166061" w14:textId="77777777" w:rsidR="007060F5" w:rsidRDefault="007060F5" w:rsidP="00017129">
      <w:pPr>
        <w:jc w:val="center"/>
        <w:rPr>
          <w:b/>
          <w:sz w:val="52"/>
        </w:rPr>
      </w:pPr>
      <w:r>
        <w:rPr>
          <w:b/>
          <w:sz w:val="52"/>
        </w:rPr>
        <w:t xml:space="preserve">Specyfikacja techniczna wykonania i </w:t>
      </w:r>
    </w:p>
    <w:p w14:paraId="267C5AD5" w14:textId="77777777" w:rsidR="007060F5" w:rsidRDefault="007060F5" w:rsidP="00017129">
      <w:pPr>
        <w:jc w:val="center"/>
        <w:rPr>
          <w:b/>
          <w:sz w:val="52"/>
        </w:rPr>
      </w:pPr>
    </w:p>
    <w:p w14:paraId="0BB55EF2" w14:textId="77777777" w:rsidR="006D5662" w:rsidRDefault="007060F5" w:rsidP="00017129">
      <w:pPr>
        <w:jc w:val="center"/>
        <w:rPr>
          <w:b/>
          <w:sz w:val="52"/>
        </w:rPr>
      </w:pPr>
      <w:r>
        <w:rPr>
          <w:b/>
          <w:sz w:val="52"/>
        </w:rPr>
        <w:t>odbioru oznakowanie poziomego dróg.</w:t>
      </w:r>
    </w:p>
    <w:p w14:paraId="48081AEB" w14:textId="77777777" w:rsidR="006D5662" w:rsidRDefault="006D5662" w:rsidP="00017129">
      <w:pPr>
        <w:jc w:val="center"/>
        <w:rPr>
          <w:b/>
          <w:sz w:val="52"/>
        </w:rPr>
      </w:pPr>
    </w:p>
    <w:p w14:paraId="79FD7B44" w14:textId="77777777" w:rsidR="006D5662" w:rsidRDefault="006D5662" w:rsidP="00017129">
      <w:pPr>
        <w:jc w:val="center"/>
        <w:rPr>
          <w:b/>
          <w:sz w:val="52"/>
        </w:rPr>
      </w:pPr>
    </w:p>
    <w:p w14:paraId="0C6ECE00" w14:textId="77777777" w:rsidR="006D5662" w:rsidRDefault="006D5662" w:rsidP="00017129">
      <w:pPr>
        <w:jc w:val="center"/>
        <w:rPr>
          <w:b/>
          <w:sz w:val="52"/>
        </w:rPr>
      </w:pPr>
    </w:p>
    <w:p w14:paraId="11E197DD" w14:textId="77777777" w:rsidR="006D5662" w:rsidRDefault="006D5662" w:rsidP="00017129">
      <w:pPr>
        <w:jc w:val="center"/>
        <w:rPr>
          <w:b/>
          <w:sz w:val="52"/>
        </w:rPr>
      </w:pPr>
    </w:p>
    <w:p w14:paraId="168BC62A" w14:textId="77777777" w:rsidR="006D5662" w:rsidRPr="007060F5" w:rsidRDefault="006D5662" w:rsidP="00017129">
      <w:pPr>
        <w:jc w:val="center"/>
        <w:rPr>
          <w:b/>
          <w:sz w:val="28"/>
          <w:szCs w:val="28"/>
        </w:rPr>
      </w:pPr>
    </w:p>
    <w:p w14:paraId="0B3DFAAC" w14:textId="77777777" w:rsidR="00017129" w:rsidRPr="007060F5" w:rsidRDefault="00017129" w:rsidP="00017129">
      <w:pPr>
        <w:jc w:val="center"/>
        <w:rPr>
          <w:b/>
          <w:sz w:val="28"/>
          <w:szCs w:val="28"/>
        </w:rPr>
      </w:pPr>
      <w:r w:rsidRPr="007060F5">
        <w:rPr>
          <w:b/>
          <w:sz w:val="28"/>
          <w:szCs w:val="28"/>
        </w:rPr>
        <w:t>D - 07.01.01</w:t>
      </w:r>
    </w:p>
    <w:p w14:paraId="63C661EA" w14:textId="77777777" w:rsidR="00017129" w:rsidRPr="007060F5" w:rsidRDefault="00017129" w:rsidP="00017129">
      <w:pPr>
        <w:jc w:val="center"/>
        <w:rPr>
          <w:b/>
          <w:sz w:val="28"/>
          <w:szCs w:val="28"/>
        </w:rPr>
      </w:pPr>
    </w:p>
    <w:p w14:paraId="4CA72825" w14:textId="77777777" w:rsidR="00017129" w:rsidRPr="007060F5" w:rsidRDefault="00017129" w:rsidP="00017129">
      <w:pPr>
        <w:jc w:val="center"/>
        <w:rPr>
          <w:b/>
          <w:sz w:val="28"/>
          <w:szCs w:val="28"/>
        </w:rPr>
      </w:pPr>
      <w:r w:rsidRPr="007060F5">
        <w:rPr>
          <w:b/>
          <w:sz w:val="28"/>
          <w:szCs w:val="28"/>
        </w:rPr>
        <w:t>OZNAKOWANIE  POZIOME</w:t>
      </w:r>
    </w:p>
    <w:p w14:paraId="43BC00FD" w14:textId="77777777" w:rsidR="00017129" w:rsidRPr="007060F5" w:rsidRDefault="00017129" w:rsidP="00017129">
      <w:pPr>
        <w:jc w:val="center"/>
        <w:rPr>
          <w:b/>
          <w:sz w:val="28"/>
          <w:szCs w:val="28"/>
        </w:rPr>
      </w:pPr>
    </w:p>
    <w:p w14:paraId="1E7EB2D1" w14:textId="77777777" w:rsidR="00017129" w:rsidRDefault="00017129" w:rsidP="00017129">
      <w:pPr>
        <w:jc w:val="center"/>
        <w:rPr>
          <w:b/>
          <w:sz w:val="28"/>
        </w:rPr>
      </w:pPr>
    </w:p>
    <w:p w14:paraId="7D9ECBA5" w14:textId="77777777" w:rsidR="00017129" w:rsidRDefault="00017129" w:rsidP="00017129">
      <w:pPr>
        <w:jc w:val="center"/>
        <w:rPr>
          <w:b/>
          <w:sz w:val="28"/>
        </w:rPr>
      </w:pPr>
    </w:p>
    <w:p w14:paraId="4FF78355" w14:textId="77777777" w:rsidR="00017129" w:rsidRDefault="00017129" w:rsidP="00017129">
      <w:pPr>
        <w:jc w:val="center"/>
        <w:rPr>
          <w:b/>
          <w:sz w:val="28"/>
        </w:rPr>
      </w:pPr>
    </w:p>
    <w:p w14:paraId="65764099" w14:textId="77777777" w:rsidR="00017129" w:rsidRDefault="00017129" w:rsidP="00017129">
      <w:pPr>
        <w:jc w:val="center"/>
        <w:rPr>
          <w:b/>
          <w:sz w:val="28"/>
        </w:rPr>
      </w:pPr>
    </w:p>
    <w:p w14:paraId="04991CEE" w14:textId="77777777" w:rsidR="00017129" w:rsidRDefault="00017129" w:rsidP="00017129">
      <w:pPr>
        <w:jc w:val="center"/>
        <w:rPr>
          <w:b/>
          <w:sz w:val="28"/>
        </w:rPr>
      </w:pPr>
    </w:p>
    <w:p w14:paraId="00F786CB" w14:textId="77777777" w:rsidR="00017129" w:rsidRDefault="00017129" w:rsidP="00017129">
      <w:pPr>
        <w:jc w:val="center"/>
        <w:rPr>
          <w:b/>
          <w:sz w:val="28"/>
        </w:rPr>
      </w:pPr>
    </w:p>
    <w:p w14:paraId="32FAD34B" w14:textId="77777777" w:rsidR="00017129" w:rsidRDefault="00017129" w:rsidP="00017129">
      <w:pPr>
        <w:jc w:val="center"/>
        <w:rPr>
          <w:b/>
          <w:sz w:val="28"/>
        </w:rPr>
      </w:pPr>
    </w:p>
    <w:p w14:paraId="5B88AAE7" w14:textId="77777777" w:rsidR="00017129" w:rsidRDefault="00017129" w:rsidP="00017129">
      <w:pPr>
        <w:jc w:val="center"/>
        <w:rPr>
          <w:b/>
          <w:sz w:val="28"/>
        </w:rPr>
      </w:pPr>
    </w:p>
    <w:p w14:paraId="25115046" w14:textId="77777777" w:rsidR="00017129" w:rsidRDefault="00017129" w:rsidP="00017129">
      <w:pPr>
        <w:jc w:val="center"/>
        <w:rPr>
          <w:b/>
          <w:sz w:val="28"/>
        </w:rPr>
      </w:pPr>
    </w:p>
    <w:p w14:paraId="24416240" w14:textId="77777777" w:rsidR="00017129" w:rsidRDefault="00017129" w:rsidP="00017129">
      <w:pPr>
        <w:jc w:val="center"/>
        <w:rPr>
          <w:b/>
          <w:sz w:val="28"/>
        </w:rPr>
      </w:pPr>
    </w:p>
    <w:p w14:paraId="7B62FC66" w14:textId="77777777" w:rsidR="00017129" w:rsidRDefault="00017129" w:rsidP="00017129">
      <w:pPr>
        <w:jc w:val="center"/>
        <w:rPr>
          <w:b/>
          <w:sz w:val="28"/>
        </w:rPr>
      </w:pPr>
    </w:p>
    <w:p w14:paraId="1F79DC61" w14:textId="77777777" w:rsidR="00017129" w:rsidRDefault="00017129" w:rsidP="00017129">
      <w:pPr>
        <w:jc w:val="center"/>
        <w:rPr>
          <w:b/>
          <w:sz w:val="28"/>
        </w:rPr>
      </w:pPr>
    </w:p>
    <w:p w14:paraId="21082A84" w14:textId="77777777" w:rsidR="00017129" w:rsidRDefault="00017129" w:rsidP="00017129">
      <w:pPr>
        <w:jc w:val="center"/>
        <w:rPr>
          <w:b/>
          <w:sz w:val="28"/>
        </w:rPr>
      </w:pPr>
    </w:p>
    <w:p w14:paraId="5153C30C" w14:textId="77777777" w:rsidR="00017129" w:rsidRDefault="00017129" w:rsidP="00017129">
      <w:pPr>
        <w:jc w:val="center"/>
        <w:rPr>
          <w:b/>
          <w:sz w:val="28"/>
        </w:rPr>
      </w:pPr>
    </w:p>
    <w:p w14:paraId="156E8CF0" w14:textId="77777777" w:rsidR="00017129" w:rsidRDefault="00017129" w:rsidP="00017129">
      <w:pPr>
        <w:jc w:val="center"/>
        <w:rPr>
          <w:b/>
        </w:rPr>
      </w:pPr>
      <w:r>
        <w:rPr>
          <w:b/>
          <w:sz w:val="28"/>
        </w:rPr>
        <w:br w:type="page"/>
      </w:r>
      <w:r>
        <w:rPr>
          <w:b/>
        </w:rPr>
        <w:lastRenderedPageBreak/>
        <w:t>D - 07.01.01</w:t>
      </w:r>
    </w:p>
    <w:p w14:paraId="4D21840A" w14:textId="77777777" w:rsidR="00017129" w:rsidRDefault="00017129" w:rsidP="00017129">
      <w:pPr>
        <w:jc w:val="center"/>
        <w:rPr>
          <w:b/>
        </w:rPr>
      </w:pPr>
    </w:p>
    <w:p w14:paraId="19D35DF5" w14:textId="77777777" w:rsidR="00017129" w:rsidRDefault="00017129" w:rsidP="00017129">
      <w:pPr>
        <w:jc w:val="center"/>
        <w:rPr>
          <w:b/>
        </w:rPr>
      </w:pPr>
      <w:r>
        <w:rPr>
          <w:b/>
        </w:rPr>
        <w:t>OZNAKOWANIE  POZIOME</w:t>
      </w:r>
    </w:p>
    <w:p w14:paraId="5CC8502D" w14:textId="77777777" w:rsidR="00017129" w:rsidRDefault="00017129" w:rsidP="00017129">
      <w:pPr>
        <w:spacing w:after="360"/>
        <w:rPr>
          <w:sz w:val="19"/>
        </w:rPr>
      </w:pPr>
    </w:p>
    <w:p w14:paraId="0BB8B5D4" w14:textId="77777777" w:rsidR="00017129" w:rsidRDefault="00017129" w:rsidP="00017129">
      <w:pPr>
        <w:pStyle w:val="Nagwek1"/>
      </w:pPr>
      <w:bookmarkStart w:id="0" w:name="_Toc420816680"/>
      <w:r>
        <w:t>1. WSTĘP</w:t>
      </w:r>
      <w:bookmarkEnd w:id="0"/>
    </w:p>
    <w:p w14:paraId="48243392" w14:textId="77777777" w:rsidR="00017129" w:rsidRDefault="00017129" w:rsidP="00017129">
      <w:pPr>
        <w:pStyle w:val="Nagwek2"/>
      </w:pPr>
      <w:r>
        <w:t>1.1. Przedmiot OST</w:t>
      </w:r>
    </w:p>
    <w:p w14:paraId="2FDB52AA" w14:textId="77777777" w:rsidR="00017129" w:rsidRDefault="00017129" w:rsidP="00017129">
      <w:pPr>
        <w:pStyle w:val="Standardowytekst"/>
      </w:pPr>
      <w:r>
        <w:tab/>
        <w:t>Przedmiotem niniejszej ogólnej specyfikacji technicznej (OST) są wymagania dotyczące wykonania i odbioru oznakowania poziomego dróg.</w:t>
      </w:r>
    </w:p>
    <w:p w14:paraId="0BFF0972" w14:textId="77777777" w:rsidR="00017129" w:rsidRDefault="00017129" w:rsidP="00017129">
      <w:pPr>
        <w:pStyle w:val="Nagwek2"/>
      </w:pPr>
      <w:r>
        <w:t>1.2. Zakres stosowania OST</w:t>
      </w:r>
    </w:p>
    <w:p w14:paraId="521A0B0B" w14:textId="77777777" w:rsidR="00017129" w:rsidRDefault="00017129" w:rsidP="00017129">
      <w:pPr>
        <w:pStyle w:val="Standardowytekst"/>
      </w:pPr>
      <w:r>
        <w:tab/>
        <w:t>Ogólna specyfikacja techniczna (OST) stanowi obowiązującą podstawę opracowania szczegółowej specyfikacji technicznej (SST) stosowanej jako dokument przetargowy i kontraktowy przy zlecaniu i realizacji robót na drogach krajowych i wojewódzkich.</w:t>
      </w:r>
    </w:p>
    <w:p w14:paraId="4C267A6A" w14:textId="77777777" w:rsidR="00017129" w:rsidRDefault="00017129" w:rsidP="00017129">
      <w:pPr>
        <w:pStyle w:val="Standardowytekst"/>
      </w:pPr>
      <w:r>
        <w:tab/>
        <w:t>Zaleca się wykorzystanie OST przy zlecaniu robót na drogach miejskich i gminnych.</w:t>
      </w:r>
      <w:r>
        <w:tab/>
      </w:r>
    </w:p>
    <w:p w14:paraId="7B33110A" w14:textId="77777777" w:rsidR="00017129" w:rsidRDefault="00017129" w:rsidP="00017129">
      <w:pPr>
        <w:pStyle w:val="Nagwek2"/>
      </w:pPr>
      <w:r>
        <w:t>1.3. Zakres robót objętych OST</w:t>
      </w:r>
    </w:p>
    <w:p w14:paraId="7121B958" w14:textId="77777777" w:rsidR="00017129" w:rsidRDefault="00017129" w:rsidP="00017129">
      <w:r>
        <w:tab/>
        <w:t>Ustalenia zawarte w niniejszej specyfikacji dotyczą zasad prowadzenia robót związanych z wykonywaniem i odbiorem oznakowania poziomego stosowanego na drogach o nawierzchni twardej.</w:t>
      </w:r>
    </w:p>
    <w:p w14:paraId="35D069F8" w14:textId="77777777" w:rsidR="00017129" w:rsidRDefault="00017129" w:rsidP="00017129">
      <w:pPr>
        <w:pStyle w:val="Nagwek2"/>
      </w:pPr>
      <w:r>
        <w:t>1.4. Określenia podstawowe</w:t>
      </w:r>
    </w:p>
    <w:p w14:paraId="177E1275" w14:textId="77777777" w:rsidR="00017129" w:rsidRDefault="00017129" w:rsidP="00017129">
      <w:r>
        <w:rPr>
          <w:b/>
        </w:rPr>
        <w:t xml:space="preserve">1.4.1. </w:t>
      </w:r>
      <w:r>
        <w:t>Oznakowanie poziome - znaki drogowe poziome, umieszczone na nawierzchni w postaci linii ciągłych lub przerywanych, pojedynczych lub podwójnych, strzałek, napisów, symboli oraz innych linii związanych z oznaczeniem określonych miejsc na tej nawierzchni.</w:t>
      </w:r>
    </w:p>
    <w:p w14:paraId="5A96D14B" w14:textId="77777777" w:rsidR="00017129" w:rsidRDefault="00017129" w:rsidP="00017129">
      <w:pPr>
        <w:spacing w:before="120"/>
      </w:pPr>
      <w:r>
        <w:rPr>
          <w:b/>
        </w:rPr>
        <w:t xml:space="preserve">1.4.2. </w:t>
      </w:r>
      <w:r>
        <w:t>Znaki podłużne - linie równoległe do osi jezdni lub odchylone od niej pod niewielkim kątem, występujące jako linie segregacyjne lub krawędziowe, przerywane lub ciągłe.</w:t>
      </w:r>
    </w:p>
    <w:p w14:paraId="66E80C53" w14:textId="77777777" w:rsidR="00017129" w:rsidRDefault="00017129" w:rsidP="00017129">
      <w:pPr>
        <w:spacing w:before="120"/>
      </w:pPr>
      <w:r>
        <w:rPr>
          <w:b/>
        </w:rPr>
        <w:t xml:space="preserve">1.4.3. </w:t>
      </w:r>
      <w:r>
        <w:t>Strzałki - znaki poziome na nawierzchni, występujące jako strzałki kierunkowe służące do wskazania dozwolonego kierunku jazdy oraz strzałki naprowadzające, które uprzedzają o konieczności opuszczenia pasa, na którym się znajdują.</w:t>
      </w:r>
    </w:p>
    <w:p w14:paraId="6F2DC370" w14:textId="77777777" w:rsidR="00017129" w:rsidRDefault="00017129" w:rsidP="00017129">
      <w:pPr>
        <w:spacing w:before="120"/>
      </w:pPr>
      <w:r>
        <w:rPr>
          <w:b/>
        </w:rPr>
        <w:t xml:space="preserve">1.4.4. </w:t>
      </w:r>
      <w:r>
        <w:t>Znaki poprzeczne - znaki wyznaczające miejsca przeznaczone do ruchu pieszych i rowerzystów w poprzek jezdni oraz miejsca zatrzymania pojazdów.</w:t>
      </w:r>
    </w:p>
    <w:p w14:paraId="49AF801F" w14:textId="77777777" w:rsidR="00017129" w:rsidRDefault="00017129" w:rsidP="00017129">
      <w:pPr>
        <w:spacing w:before="120"/>
      </w:pPr>
      <w:r>
        <w:rPr>
          <w:b/>
        </w:rPr>
        <w:t xml:space="preserve">1.4.5. </w:t>
      </w:r>
      <w:r>
        <w:t>Znaki uzupełniające - znaki w postaci symboli, napisów, linii przystankowych oraz inne określające szczególne miejsca na nawierzchni.</w:t>
      </w:r>
    </w:p>
    <w:p w14:paraId="6CD2F668" w14:textId="77777777" w:rsidR="00017129" w:rsidRDefault="001B7696" w:rsidP="00017129">
      <w:pPr>
        <w:spacing w:before="120"/>
      </w:pPr>
      <w:r>
        <w:rPr>
          <w:b/>
        </w:rPr>
        <w:t>1.4.6</w:t>
      </w:r>
      <w:r w:rsidR="00017129">
        <w:rPr>
          <w:b/>
        </w:rPr>
        <w:t xml:space="preserve">. </w:t>
      </w:r>
      <w:r w:rsidR="00017129">
        <w:t xml:space="preserve">Materiały do znakowania cienkowarstwowego - farby nakładane warstwą grubości od </w:t>
      </w:r>
      <w:smartTag w:uri="urn:schemas-microsoft-com:office:smarttags" w:element="metricconverter">
        <w:smartTagPr>
          <w:attr w:name="ProductID" w:val="0,3 mm"/>
        </w:smartTagPr>
        <w:r w:rsidR="00017129">
          <w:t>0,3 mm</w:t>
        </w:r>
      </w:smartTag>
      <w:r w:rsidR="00017129">
        <w:t xml:space="preserve"> do </w:t>
      </w:r>
      <w:smartTag w:uri="urn:schemas-microsoft-com:office:smarttags" w:element="metricconverter">
        <w:smartTagPr>
          <w:attr w:name="ProductID" w:val="0,8 mm"/>
        </w:smartTagPr>
        <w:r w:rsidR="00017129">
          <w:t>0,8 mm</w:t>
        </w:r>
      </w:smartTag>
      <w:r w:rsidR="00017129">
        <w:t>.</w:t>
      </w:r>
    </w:p>
    <w:p w14:paraId="7443E91E" w14:textId="77777777" w:rsidR="00017129" w:rsidRDefault="00017129" w:rsidP="00017129">
      <w:pPr>
        <w:pStyle w:val="Nagwek1"/>
      </w:pPr>
      <w:bookmarkStart w:id="1" w:name="_Toc420816681"/>
      <w:r>
        <w:t>2. materiały</w:t>
      </w:r>
      <w:bookmarkEnd w:id="1"/>
    </w:p>
    <w:p w14:paraId="6C530F1E" w14:textId="77777777" w:rsidR="00017129" w:rsidRDefault="00017129" w:rsidP="00017129">
      <w:pPr>
        <w:pStyle w:val="Nagwek2"/>
      </w:pPr>
      <w:r>
        <w:t>2.1. Ogólne wymagania dotyczące materiałów</w:t>
      </w:r>
    </w:p>
    <w:p w14:paraId="4977EF67" w14:textId="77777777" w:rsidR="00017129" w:rsidRDefault="00017129" w:rsidP="00017129">
      <w:r>
        <w:tab/>
        <w:t>Ogólne wymagania dotyczące materiałów, ich pozyskiwania i składowania podano w OST D-M-00.00.00 „Wymagania ogólne” pkt 2.</w:t>
      </w:r>
    </w:p>
    <w:p w14:paraId="192825DA" w14:textId="77777777" w:rsidR="00017129" w:rsidRDefault="00017129" w:rsidP="00017129">
      <w:pPr>
        <w:pStyle w:val="Nagwek2"/>
      </w:pPr>
      <w:r>
        <w:t>2.2. Dokument dopuszczający do stosowania materiałów</w:t>
      </w:r>
    </w:p>
    <w:p w14:paraId="3440D119" w14:textId="77777777" w:rsidR="00017129" w:rsidRDefault="00017129" w:rsidP="00017129">
      <w:r>
        <w:tab/>
        <w:t>Każdy materiał używany przez Wykonawcę do poziomego znakowania dróg musi posiadać aprobatę techniczną.</w:t>
      </w:r>
    </w:p>
    <w:p w14:paraId="35A268B3" w14:textId="77777777" w:rsidR="00017129" w:rsidRDefault="001B7696" w:rsidP="00017129">
      <w:pPr>
        <w:pStyle w:val="Nagwek2"/>
      </w:pPr>
      <w:r>
        <w:t>2.3</w:t>
      </w:r>
      <w:r w:rsidR="00017129">
        <w:t>. Oznakowanie opakowań</w:t>
      </w:r>
    </w:p>
    <w:p w14:paraId="329772D8" w14:textId="77777777" w:rsidR="00017129" w:rsidRDefault="00017129" w:rsidP="00017129">
      <w:r>
        <w:tab/>
        <w:t>Wykonawca powinien żądać od producenta, aby oznakowanie opakowań materiałów do poziomego znakowania dróg było wykonane zgodnie z PN-O-79252 [2], a ponadto aby na każdym opakowaniu był umieszczony trwały napis zawierający:</w:t>
      </w:r>
    </w:p>
    <w:p w14:paraId="771D9DCF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nazwę producenta i materiału do znakowania dróg,</w:t>
      </w:r>
    </w:p>
    <w:p w14:paraId="463C0A21" w14:textId="77777777" w:rsidR="00017129" w:rsidRDefault="001B7696" w:rsidP="00017129">
      <w:pPr>
        <w:numPr>
          <w:ilvl w:val="0"/>
          <w:numId w:val="1"/>
        </w:numPr>
        <w:textAlignment w:val="auto"/>
        <w:rPr>
          <w:lang w:val="en-US"/>
        </w:rPr>
      </w:pPr>
      <w:proofErr w:type="spellStart"/>
      <w:r>
        <w:rPr>
          <w:lang w:val="en-US"/>
        </w:rPr>
        <w:t>masę</w:t>
      </w:r>
      <w:proofErr w:type="spellEnd"/>
      <w:r w:rsidR="00017129">
        <w:rPr>
          <w:lang w:val="en-US"/>
        </w:rPr>
        <w:t xml:space="preserve"> </w:t>
      </w:r>
      <w:proofErr w:type="spellStart"/>
      <w:r w:rsidR="00017129">
        <w:rPr>
          <w:lang w:val="en-US"/>
        </w:rPr>
        <w:t>brutto</w:t>
      </w:r>
      <w:proofErr w:type="spellEnd"/>
      <w:r w:rsidR="00017129">
        <w:rPr>
          <w:lang w:val="en-US"/>
        </w:rPr>
        <w:t xml:space="preserve"> i </w:t>
      </w:r>
      <w:proofErr w:type="spellStart"/>
      <w:r w:rsidR="00017129">
        <w:rPr>
          <w:lang w:val="en-US"/>
        </w:rPr>
        <w:t>netto</w:t>
      </w:r>
      <w:proofErr w:type="spellEnd"/>
      <w:r w:rsidR="00017129">
        <w:rPr>
          <w:lang w:val="en-US"/>
        </w:rPr>
        <w:t>,</w:t>
      </w:r>
    </w:p>
    <w:p w14:paraId="085D7E9D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numer partii i datę produkcji,</w:t>
      </w:r>
    </w:p>
    <w:p w14:paraId="05CF12B9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informację o szkodliwości i klasie zagrożenia pożarowego,</w:t>
      </w:r>
    </w:p>
    <w:p w14:paraId="740DF3D5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ewentualne wskazówki dla użytkowników.</w:t>
      </w:r>
    </w:p>
    <w:p w14:paraId="56502E29" w14:textId="77777777" w:rsidR="00017129" w:rsidRDefault="00017129" w:rsidP="00017129">
      <w:pPr>
        <w:pStyle w:val="Nagwek2"/>
      </w:pPr>
      <w:r>
        <w:lastRenderedPageBreak/>
        <w:t>2.5. Przepisy określające wymagania dla materiałów</w:t>
      </w:r>
    </w:p>
    <w:p w14:paraId="5D07B76E" w14:textId="77777777" w:rsidR="00017129" w:rsidRDefault="00017129" w:rsidP="00017129">
      <w:r>
        <w:tab/>
        <w:t>Podstawowe wymagania dotyczące materiałów podano w punkcie 2.6, a szczegółowe wymagania określone są w „Warunkach technicznych POD-</w:t>
      </w:r>
      <w:smartTag w:uri="urn:schemas-microsoft-com:office:smarttags" w:element="metricconverter">
        <w:smartTagPr>
          <w:attr w:name="ProductID" w:val="97”"/>
        </w:smartTagPr>
        <w:r>
          <w:t>97”</w:t>
        </w:r>
      </w:smartTag>
      <w:r>
        <w:t xml:space="preserve"> [4].</w:t>
      </w:r>
    </w:p>
    <w:p w14:paraId="0C14DD51" w14:textId="77777777" w:rsidR="00017129" w:rsidRDefault="00017129" w:rsidP="00017129">
      <w:pPr>
        <w:pStyle w:val="Nagwek2"/>
      </w:pPr>
      <w:r>
        <w:t>2.6. Wymagania wobec materiałów do poziomego znakowania dróg</w:t>
      </w:r>
    </w:p>
    <w:p w14:paraId="177B248D" w14:textId="77777777" w:rsidR="00017129" w:rsidRDefault="00017129" w:rsidP="00017129">
      <w:pPr>
        <w:spacing w:after="120"/>
      </w:pPr>
      <w:r>
        <w:rPr>
          <w:b/>
        </w:rPr>
        <w:t xml:space="preserve">2.6.1. </w:t>
      </w:r>
      <w:r>
        <w:t xml:space="preserve"> Materiały do znakowania cienkowarstwowego</w:t>
      </w:r>
    </w:p>
    <w:p w14:paraId="6A35EA92" w14:textId="77777777" w:rsidR="00017129" w:rsidRDefault="00017129" w:rsidP="00017129">
      <w:r>
        <w:tab/>
        <w:t xml:space="preserve">Materiałami do znakowania cienkowarstwowego powinny być farby nakładane warstwą grubości od </w:t>
      </w:r>
      <w:smartTag w:uri="urn:schemas-microsoft-com:office:smarttags" w:element="metricconverter">
        <w:smartTagPr>
          <w:attr w:name="ProductID" w:val="0,3 mm"/>
        </w:smartTagPr>
        <w:r>
          <w:t>0,3 mm</w:t>
        </w:r>
      </w:smartTag>
      <w:r>
        <w:t xml:space="preserve"> do </w:t>
      </w:r>
      <w:smartTag w:uri="urn:schemas-microsoft-com:office:smarttags" w:element="metricconverter">
        <w:smartTagPr>
          <w:attr w:name="ProductID" w:val="0,8 mm"/>
        </w:smartTagPr>
        <w:r>
          <w:t>0,8 mm</w:t>
        </w:r>
      </w:smartTag>
      <w:r>
        <w:t xml:space="preserve"> (na mokro). Powinny być nimi ciekłe produkty zawierające ciała stałe rozproszone w organicznym rozpuszczalniku lub wodzie, które mogą występować w układach jedno- lub wieloskładnikowych.</w:t>
      </w:r>
    </w:p>
    <w:p w14:paraId="3174C978" w14:textId="77777777" w:rsidR="00017129" w:rsidRDefault="00017129" w:rsidP="00017129">
      <w:r>
        <w:tab/>
        <w:t xml:space="preserve"> Podczas nakładania farb, do znakowania cienkowarstwowego, na nawierzchnię pędzlem, wałkiem lub przez natrysk, powinny one tworzyć warstwę kohezyjną w procesie odparowania i/lub w procesie chemicznym.</w:t>
      </w:r>
    </w:p>
    <w:p w14:paraId="6861BFAE" w14:textId="77777777" w:rsidR="00017129" w:rsidRDefault="00017129" w:rsidP="00017129">
      <w:pPr>
        <w:spacing w:after="120"/>
      </w:pPr>
      <w:r>
        <w:tab/>
        <w:t>Właściwości fizyczne materiałów do znakowania cienkowarstwowego określa aprobata techniczna odpowiadająca wymaganiom POD-97 [4].</w:t>
      </w:r>
    </w:p>
    <w:p w14:paraId="0903742B" w14:textId="77777777" w:rsidR="00017129" w:rsidRDefault="00017129" w:rsidP="001B7696">
      <w:r>
        <w:rPr>
          <w:b/>
        </w:rPr>
        <w:t xml:space="preserve">2.6.3. </w:t>
      </w:r>
      <w:r>
        <w:t>Zawartość   składników   lotnych  w  materiałach   do  znakowania   cienkowarstwowego</w:t>
      </w:r>
    </w:p>
    <w:p w14:paraId="648C560F" w14:textId="77777777" w:rsidR="00017129" w:rsidRDefault="00017129" w:rsidP="00017129">
      <w:r>
        <w:tab/>
        <w:t>Zawartość składników lotnych (rozpuszczalników organicznych) nie powinna przekraczać w materiałach do znakowania:</w:t>
      </w:r>
    </w:p>
    <w:p w14:paraId="76CE5F61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cienkowarstwowego 30% (m/m),</w:t>
      </w:r>
    </w:p>
    <w:p w14:paraId="662DF596" w14:textId="77777777" w:rsidR="00017129" w:rsidRDefault="00017129" w:rsidP="00017129">
      <w:r>
        <w:tab/>
        <w:t>Nie dopuszcza się stosowania materiałów zawierających rozpuszczalnik aromatyczny (jak np. toluen, ksylen) w ilości większej niż 10%. Nie dopuszcza się stosowania materiałów zawierających benzen i rozpuszczalniki chlorowane.</w:t>
      </w:r>
    </w:p>
    <w:p w14:paraId="0C336452" w14:textId="77777777" w:rsidR="00017129" w:rsidRDefault="00017129" w:rsidP="00017129">
      <w:pPr>
        <w:spacing w:before="120"/>
      </w:pPr>
      <w:r>
        <w:rPr>
          <w:b/>
        </w:rPr>
        <w:t xml:space="preserve">2.6.7. </w:t>
      </w:r>
      <w:r>
        <w:t>Wymagania wobec materiałów ze względu na ochronę warunków pracy i środowiska</w:t>
      </w:r>
    </w:p>
    <w:p w14:paraId="2A9C55B0" w14:textId="77777777" w:rsidR="00017129" w:rsidRDefault="00017129" w:rsidP="00017129">
      <w:pPr>
        <w:spacing w:before="120"/>
      </w:pPr>
      <w:r>
        <w:tab/>
        <w:t>Materiały stosowane do znakowania nawierzchni nie powinny zawierać substancji zagrażających zdrowiu ludzi i powodujących skażenie środowiska.</w:t>
      </w:r>
    </w:p>
    <w:p w14:paraId="4A9007BF" w14:textId="77777777" w:rsidR="00017129" w:rsidRDefault="00017129" w:rsidP="00017129">
      <w:pPr>
        <w:pStyle w:val="Nagwek2"/>
      </w:pPr>
      <w:r>
        <w:t>2.7. Przechowywanie i składowanie materiałów</w:t>
      </w:r>
    </w:p>
    <w:p w14:paraId="1285F6D1" w14:textId="77777777" w:rsidR="00017129" w:rsidRDefault="00017129" w:rsidP="00017129">
      <w:r>
        <w:tab/>
        <w:t>Materiały do znakowa</w:t>
      </w:r>
      <w:r w:rsidR="001B7696">
        <w:t>nia cienko</w:t>
      </w:r>
      <w:r>
        <w:t>warstwowego nawierzchni powinny zachować stałość swoich właściwości chemicznych i fizykochemicznych przez okres co najmniej 6 miesięcy składowania w warunkach określonych przez producenta.</w:t>
      </w:r>
    </w:p>
    <w:p w14:paraId="385A6DE4" w14:textId="77777777" w:rsidR="00017129" w:rsidRDefault="00017129" w:rsidP="00017129">
      <w:r>
        <w:tab/>
        <w:t>Materiały do poziomego znakowania dróg należy przechowywać w magazynach odpowiadających zaleceniom producenta, zwłaszcza zabezpieczających je od napromieniowania słonecznego, opadów i w temperaturze, dla:</w:t>
      </w:r>
    </w:p>
    <w:p w14:paraId="0036A5FD" w14:textId="77777777" w:rsidR="00017129" w:rsidRDefault="00017129" w:rsidP="00017129">
      <w:pPr>
        <w:numPr>
          <w:ilvl w:val="0"/>
          <w:numId w:val="2"/>
        </w:numPr>
        <w:textAlignment w:val="auto"/>
      </w:pPr>
      <w:r>
        <w:t>farb wodorozcieńczalnych od 5</w:t>
      </w:r>
      <w:r>
        <w:rPr>
          <w:vertAlign w:val="superscript"/>
        </w:rPr>
        <w:t>o</w:t>
      </w:r>
      <w:r>
        <w:t xml:space="preserve"> do 40</w:t>
      </w:r>
      <w:r>
        <w:rPr>
          <w:vertAlign w:val="superscript"/>
        </w:rPr>
        <w:t>o</w:t>
      </w:r>
      <w:r>
        <w:t>C,</w:t>
      </w:r>
    </w:p>
    <w:p w14:paraId="4B8A8C70" w14:textId="77777777" w:rsidR="00017129" w:rsidRDefault="00017129" w:rsidP="00017129">
      <w:pPr>
        <w:numPr>
          <w:ilvl w:val="0"/>
          <w:numId w:val="2"/>
        </w:numPr>
        <w:textAlignment w:val="auto"/>
      </w:pPr>
      <w:r>
        <w:t>farb rozpuszczalnikowych od 0</w:t>
      </w:r>
      <w:r>
        <w:rPr>
          <w:vertAlign w:val="superscript"/>
        </w:rPr>
        <w:t>o</w:t>
      </w:r>
      <w:r>
        <w:t xml:space="preserve"> do 25</w:t>
      </w:r>
      <w:r>
        <w:rPr>
          <w:vertAlign w:val="superscript"/>
        </w:rPr>
        <w:t>o</w:t>
      </w:r>
      <w:r>
        <w:t>C,</w:t>
      </w:r>
    </w:p>
    <w:p w14:paraId="1D3A8101" w14:textId="77777777" w:rsidR="00017129" w:rsidRDefault="00017129" w:rsidP="00017129">
      <w:pPr>
        <w:numPr>
          <w:ilvl w:val="0"/>
          <w:numId w:val="2"/>
        </w:numPr>
        <w:spacing w:after="120"/>
        <w:ind w:left="284" w:hanging="284"/>
        <w:textAlignment w:val="auto"/>
      </w:pPr>
      <w:r>
        <w:t>pozostałych materiałów - poniżej 40</w:t>
      </w:r>
      <w:r>
        <w:rPr>
          <w:vertAlign w:val="superscript"/>
        </w:rPr>
        <w:t>o</w:t>
      </w:r>
      <w:r>
        <w:t>C.</w:t>
      </w:r>
    </w:p>
    <w:p w14:paraId="6873BCD5" w14:textId="77777777" w:rsidR="00017129" w:rsidRDefault="00017129" w:rsidP="00017129">
      <w:pPr>
        <w:pStyle w:val="Nagwek1"/>
      </w:pPr>
      <w:bookmarkStart w:id="2" w:name="_Toc420816682"/>
      <w:r>
        <w:t>3. sprzęt</w:t>
      </w:r>
      <w:bookmarkEnd w:id="2"/>
    </w:p>
    <w:p w14:paraId="3B201D6F" w14:textId="77777777" w:rsidR="00017129" w:rsidRDefault="00017129" w:rsidP="00017129">
      <w:pPr>
        <w:pStyle w:val="Nagwek2"/>
      </w:pPr>
      <w:r>
        <w:t>3.1. Ogólne wymagania dotyczące sprzętu</w:t>
      </w:r>
    </w:p>
    <w:p w14:paraId="5A15EDEF" w14:textId="77777777" w:rsidR="00017129" w:rsidRDefault="00017129" w:rsidP="00017129">
      <w:r>
        <w:tab/>
        <w:t>Ogólne wymagania dotyczące sprzętu podano w OST D-M-00.00.00 „Wymagania ogólne” pkt 3.</w:t>
      </w:r>
    </w:p>
    <w:p w14:paraId="1655D606" w14:textId="77777777" w:rsidR="00017129" w:rsidRDefault="00017129" w:rsidP="00017129">
      <w:pPr>
        <w:pStyle w:val="Nagwek2"/>
      </w:pPr>
      <w:r>
        <w:t>3.2. Sprzęt do wykonania oznakowania poziomego</w:t>
      </w:r>
    </w:p>
    <w:p w14:paraId="760062BE" w14:textId="77777777" w:rsidR="00017129" w:rsidRDefault="00017129" w:rsidP="00017129">
      <w:r>
        <w:tab/>
        <w:t>Wykonawca przystępujący do wykonania oznakowania poziomego, w zależności od zakresu robót, powinien wykazać się możliwością korzystania z następującego sprzętu, zaakceptowanego przez Inżyniera:</w:t>
      </w:r>
    </w:p>
    <w:p w14:paraId="07D90691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szczotek mechanicznych (zaleca się stosowanie szczotek wyposażonych w urządzenia odpylające) oraz szczotek ręcznych,</w:t>
      </w:r>
      <w:r w:rsidR="00B83995">
        <w:t xml:space="preserve"> frezarek, sprężarek, </w:t>
      </w:r>
      <w:proofErr w:type="spellStart"/>
      <w:r w:rsidR="00B83995">
        <w:t>malowarek</w:t>
      </w:r>
      <w:proofErr w:type="spellEnd"/>
    </w:p>
    <w:p w14:paraId="2BDD9FC0" w14:textId="77777777" w:rsidR="00017129" w:rsidRDefault="00017129" w:rsidP="00017129">
      <w:pPr>
        <w:pStyle w:val="Nagwek1"/>
      </w:pPr>
      <w:bookmarkStart w:id="3" w:name="_Toc420816683"/>
      <w:r>
        <w:t>4. transport</w:t>
      </w:r>
      <w:bookmarkEnd w:id="3"/>
    </w:p>
    <w:p w14:paraId="70464FA1" w14:textId="77777777" w:rsidR="00017129" w:rsidRDefault="00017129" w:rsidP="00017129">
      <w:pPr>
        <w:pStyle w:val="Nagwek2"/>
      </w:pPr>
      <w:r>
        <w:t>4.1. Ogólne wymagania dotyczące transportu</w:t>
      </w:r>
    </w:p>
    <w:p w14:paraId="5469CD3F" w14:textId="77777777" w:rsidR="00017129" w:rsidRDefault="00017129" w:rsidP="00017129">
      <w:r>
        <w:tab/>
        <w:t>Ogólne wymagania dotyczące transportu podano w OST D-M-00.00.00 „Wymagania ogólne” pkt 4.</w:t>
      </w:r>
    </w:p>
    <w:p w14:paraId="79F3CA2B" w14:textId="77777777" w:rsidR="00017129" w:rsidRDefault="00017129" w:rsidP="00017129">
      <w:pPr>
        <w:pStyle w:val="Nagwek2"/>
      </w:pPr>
      <w:r>
        <w:t>4.2. Przewóz materiałów do poziomego znakowania dróg</w:t>
      </w:r>
    </w:p>
    <w:p w14:paraId="189FBD1F" w14:textId="77777777" w:rsidR="00017129" w:rsidRDefault="00017129" w:rsidP="00017129">
      <w:r>
        <w:tab/>
        <w:t xml:space="preserve">Materiały do poziomego znakowania dróg należy przewozić w pojemnikach zapewniających szczelność, bezpieczny transport i zachowanie wymaganych właściwości materiałów. Pojemniki powinny być oznakowane zgodnie z normą PN-O-79252 [2]. </w:t>
      </w:r>
    </w:p>
    <w:p w14:paraId="43271E83" w14:textId="77777777" w:rsidR="00017129" w:rsidRDefault="00017129" w:rsidP="00017129">
      <w:pPr>
        <w:spacing w:after="120"/>
      </w:pPr>
      <w:r>
        <w:tab/>
        <w:t>Materiały do znakowania poziomego należy przewozić krytymi środkami transportowymi, chroniąc opakowania przed uszkodzeniem mechanicznym, zgodnie z PN-C-81400 [1] oraz zgodnie z prawem przewozowym.</w:t>
      </w:r>
    </w:p>
    <w:p w14:paraId="4ECA4FAC" w14:textId="77777777" w:rsidR="00017129" w:rsidRDefault="00017129" w:rsidP="00017129">
      <w:pPr>
        <w:pStyle w:val="Nagwek1"/>
      </w:pPr>
      <w:bookmarkStart w:id="4" w:name="_Toc420816684"/>
      <w:r>
        <w:lastRenderedPageBreak/>
        <w:t>5. wykonanie robót</w:t>
      </w:r>
      <w:bookmarkEnd w:id="4"/>
    </w:p>
    <w:p w14:paraId="425F4948" w14:textId="77777777" w:rsidR="00017129" w:rsidRDefault="00017129" w:rsidP="00017129">
      <w:pPr>
        <w:pStyle w:val="Nagwek2"/>
      </w:pPr>
      <w:r>
        <w:t>5.1. Ogólne zasady wykonania robót</w:t>
      </w:r>
    </w:p>
    <w:p w14:paraId="5C8B3A27" w14:textId="77777777" w:rsidR="00017129" w:rsidRDefault="00017129" w:rsidP="00017129">
      <w:r>
        <w:tab/>
        <w:t>Ogólne zasady wykonania robót podano w OST D-M-00.00.00 „Wymagania ogólne” pkt 5.</w:t>
      </w:r>
    </w:p>
    <w:p w14:paraId="6442D2B1" w14:textId="77777777" w:rsidR="00017129" w:rsidRDefault="00017129" w:rsidP="00017129">
      <w:pPr>
        <w:pStyle w:val="Nagwek2"/>
      </w:pPr>
      <w:r>
        <w:t>5.2. Warunki atmosferyczne</w:t>
      </w:r>
    </w:p>
    <w:p w14:paraId="7299B90C" w14:textId="77777777" w:rsidR="00017129" w:rsidRDefault="00017129" w:rsidP="00017129">
      <w:r>
        <w:tab/>
        <w:t>W czasie wykonywania oznakowania temperatura nawierzchni i powietrza powinna wynosić co najmniej 5</w:t>
      </w:r>
      <w:r>
        <w:rPr>
          <w:vertAlign w:val="superscript"/>
        </w:rPr>
        <w:t>o</w:t>
      </w:r>
      <w:r>
        <w:t>C, a wilgotność względna powietrza powinna być zgodna z zaleceniami producenta lub wynosić co najwyżej 85%.</w:t>
      </w:r>
    </w:p>
    <w:p w14:paraId="0E5CFF04" w14:textId="77777777" w:rsidR="00017129" w:rsidRDefault="00017129" w:rsidP="00017129">
      <w:pPr>
        <w:pStyle w:val="Nagwek2"/>
      </w:pPr>
      <w:r>
        <w:t>5.3. Jednorodność nawierzchni znakowanej</w:t>
      </w:r>
    </w:p>
    <w:p w14:paraId="20B00775" w14:textId="77777777" w:rsidR="00017129" w:rsidRDefault="00017129" w:rsidP="00017129">
      <w:r>
        <w:tab/>
        <w:t>Poprawność wykonania znakowania wymaga jednorodności nawierzchni znakowanej. Nierównomierności i/albo miejsca łatania nawierzchni, które nie wyróżniają się od starej nawierzchni i nie mają większego rozmiaru niż 15% powierzchni znakowanej, uznaje się za powierzchnie jednorodne. Dla powierzchni niejednorodnych należy ustalić w SST wymagania wobec materiału do znakowania nawierzchni.</w:t>
      </w:r>
    </w:p>
    <w:p w14:paraId="1C1AE687" w14:textId="77777777" w:rsidR="00017129" w:rsidRDefault="00017129" w:rsidP="00017129">
      <w:pPr>
        <w:pStyle w:val="Nagwek2"/>
      </w:pPr>
      <w:r>
        <w:t>5.4. Przygotowanie podłoża do wykonania znakowania</w:t>
      </w:r>
    </w:p>
    <w:p w14:paraId="4F0A8669" w14:textId="77777777" w:rsidR="00017129" w:rsidRDefault="00017129" w:rsidP="00017129">
      <w:r>
        <w:tab/>
        <w:t>Przed wykonaniem znakowania poziomego należy oczyścić powierzchnię nawierzchni malowanej z pyłu, kurzu, piasku, smarów, olejów i innych zanieczyszczeń, przy użyciu sprzętu wymienionego w SST i zaakceptowanego przez Inżyniera.</w:t>
      </w:r>
    </w:p>
    <w:p w14:paraId="61D33AEA" w14:textId="77777777" w:rsidR="00017129" w:rsidRDefault="00017129" w:rsidP="00017129">
      <w:r>
        <w:tab/>
        <w:t>Powierzchnia nawierzchni przygotowana do wykonania oznakowania poziomego musi być czysta i sucha.</w:t>
      </w:r>
    </w:p>
    <w:p w14:paraId="7F881BDD" w14:textId="77777777" w:rsidR="00017129" w:rsidRDefault="00017129" w:rsidP="00017129">
      <w:pPr>
        <w:pStyle w:val="Nagwek2"/>
      </w:pPr>
      <w:r>
        <w:t xml:space="preserve">5.5. </w:t>
      </w:r>
      <w:proofErr w:type="spellStart"/>
      <w:r>
        <w:t>Przedznakowanie</w:t>
      </w:r>
      <w:proofErr w:type="spellEnd"/>
    </w:p>
    <w:p w14:paraId="23A1ECF7" w14:textId="77777777" w:rsidR="00017129" w:rsidRDefault="00017129" w:rsidP="00017129">
      <w:r>
        <w:tab/>
        <w:t xml:space="preserve">W celu dokładnego wykonania poziomego oznakowania drogi, można wykonać </w:t>
      </w:r>
      <w:proofErr w:type="spellStart"/>
      <w:r>
        <w:t>przedznakowanie</w:t>
      </w:r>
      <w:proofErr w:type="spellEnd"/>
      <w:r>
        <w:t>, stosując się do ustaleń zawartych w dokumentacji projektowej, „Instrukcji o znakach drogowych poziomych” [3], SST i wskazaniach Inżyniera.</w:t>
      </w:r>
    </w:p>
    <w:p w14:paraId="160C86FD" w14:textId="77777777" w:rsidR="00017129" w:rsidRDefault="00017129" w:rsidP="00017129">
      <w:r>
        <w:tab/>
        <w:t xml:space="preserve">Do wykonania </w:t>
      </w:r>
      <w:proofErr w:type="spellStart"/>
      <w:r>
        <w:t>przedznakowania</w:t>
      </w:r>
      <w:proofErr w:type="spellEnd"/>
      <w:r>
        <w:t xml:space="preserve"> można stosować nietrwałą farbę, np. farbę silnie rozcieńczoną rozpuszczalnikiem. Zaleca się wykonywanie </w:t>
      </w:r>
      <w:proofErr w:type="spellStart"/>
      <w:r>
        <w:t>przedznakowania</w:t>
      </w:r>
      <w:proofErr w:type="spellEnd"/>
      <w:r>
        <w:t xml:space="preserve"> w postaci cienkich linii lub kropek. Początek i koniec znakowania należy zaznaczyć małą kreską poprzeczną.</w:t>
      </w:r>
    </w:p>
    <w:p w14:paraId="79A367C8" w14:textId="77777777" w:rsidR="00017129" w:rsidRDefault="00017129" w:rsidP="00017129">
      <w:r>
        <w:tab/>
        <w:t xml:space="preserve">W przypadku odnawiania znakowania drogi, gdy stare znakowanie jest wystarczająco czytelne i zgodne z dokumentacją projektową, można </w:t>
      </w:r>
      <w:proofErr w:type="spellStart"/>
      <w:r>
        <w:t>przedznakowania</w:t>
      </w:r>
      <w:proofErr w:type="spellEnd"/>
      <w:r>
        <w:t xml:space="preserve"> nie wykonywać.</w:t>
      </w:r>
    </w:p>
    <w:p w14:paraId="0CD155A0" w14:textId="77777777" w:rsidR="00017129" w:rsidRDefault="00017129" w:rsidP="00017129">
      <w:pPr>
        <w:pStyle w:val="Nagwek2"/>
      </w:pPr>
      <w:r>
        <w:t>5.6. Wykonanie znakowania drogi</w:t>
      </w:r>
    </w:p>
    <w:p w14:paraId="55CE993D" w14:textId="77777777" w:rsidR="00017129" w:rsidRDefault="00017129" w:rsidP="00017129">
      <w:pPr>
        <w:pStyle w:val="Nagwek2"/>
        <w:spacing w:before="0"/>
      </w:pPr>
      <w:r>
        <w:t>5.6.1.</w:t>
      </w:r>
      <w:r>
        <w:rPr>
          <w:b w:val="0"/>
        </w:rPr>
        <w:t xml:space="preserve"> </w:t>
      </w:r>
      <w:r>
        <w:t xml:space="preserve"> </w:t>
      </w:r>
      <w:r>
        <w:rPr>
          <w:b w:val="0"/>
        </w:rPr>
        <w:t>Dostarczenie materiałów i spełnienie zaleceń producenta materiałów</w:t>
      </w:r>
    </w:p>
    <w:p w14:paraId="71D9A940" w14:textId="77777777" w:rsidR="00017129" w:rsidRDefault="00017129" w:rsidP="00017129">
      <w:r>
        <w:tab/>
        <w:t>Materiały do znakowania drogi, spełniające wymagania podane w punkcie 2, powinny być dostarczone w oryginalnych opakowaniach handlowych i stosowane zgodnie z zaleceniami SST, producenta oraz wymaganiami znajdującymi się w aprobacie technicznej.</w:t>
      </w:r>
    </w:p>
    <w:p w14:paraId="463EF243" w14:textId="77777777" w:rsidR="00017129" w:rsidRDefault="00017129" w:rsidP="00017129">
      <w:pPr>
        <w:spacing w:before="120"/>
      </w:pPr>
      <w:r>
        <w:rPr>
          <w:b/>
        </w:rPr>
        <w:t xml:space="preserve">5.6.2. </w:t>
      </w:r>
      <w:r>
        <w:t>Wykonanie znakowania drogi materiałami cienkowarstwowymi</w:t>
      </w:r>
    </w:p>
    <w:p w14:paraId="77E0D179" w14:textId="77777777" w:rsidR="00017129" w:rsidRDefault="00017129" w:rsidP="00017129">
      <w:pPr>
        <w:spacing w:before="120"/>
      </w:pPr>
      <w:r>
        <w:tab/>
        <w:t>Wykonanie znakowania powinno być zgodne z zaleceniami producenta materiałów, a w przypadku ich braku lub niepełnych danych - zgodne z poniższymi wskazaniami.</w:t>
      </w:r>
    </w:p>
    <w:p w14:paraId="06D106B2" w14:textId="77777777" w:rsidR="00017129" w:rsidRDefault="00017129" w:rsidP="00017129">
      <w:r>
        <w:tab/>
        <w:t xml:space="preserve">Farbę do znakowania cienkowarstwowego po otwarciu opakowania należy wymieszać w czasie od 2 do 4 min do uzyskania pełnej jednorodności. Przed lub w czasie napełniania zbiornika </w:t>
      </w:r>
      <w:proofErr w:type="spellStart"/>
      <w:r>
        <w:t>malowarki</w:t>
      </w:r>
      <w:proofErr w:type="spellEnd"/>
      <w:r>
        <w:t xml:space="preserve"> zaleca się przecedzić farbę przez sito </w:t>
      </w:r>
      <w:smartTag w:uri="urn:schemas-microsoft-com:office:smarttags" w:element="metricconverter">
        <w:smartTagPr>
          <w:attr w:name="ProductID" w:val="0,6 mm"/>
        </w:smartTagPr>
        <w:r>
          <w:t>0,6 mm</w:t>
        </w:r>
      </w:smartTag>
      <w:r>
        <w:t>. Nie wolno stosować do malowania mechanicznego farby, w której osad na dnie opakowania nie daje się całkowicie wymieszać lub na jej powierzchni znajduje się kożuch.</w:t>
      </w:r>
    </w:p>
    <w:p w14:paraId="1BFA9855" w14:textId="77777777" w:rsidR="00017129" w:rsidRDefault="00017129" w:rsidP="00017129">
      <w:r>
        <w:tab/>
        <w:t xml:space="preserve">Farbę należy nakładać równomierną warstwą o grubości ustalonej w SST, zachowując wymiary i ostrość krawędzi. Grubość nanoszonej warstwy zaleca się kontrolować przy pomocy grzebienia pomiarowego na płytce szklanej lub metalowej podkładanej na drodze </w:t>
      </w:r>
      <w:proofErr w:type="spellStart"/>
      <w:r>
        <w:t>malowarki</w:t>
      </w:r>
      <w:proofErr w:type="spellEnd"/>
      <w:r>
        <w:t>. Ilość farby zużyta w czasie prac, określona przez średnie zużycie na metr kwadratowy nie może się różnić od ilości ustalonej, więcej niż o 20%.</w:t>
      </w:r>
    </w:p>
    <w:p w14:paraId="77B2BB29" w14:textId="77777777" w:rsidR="00017129" w:rsidRDefault="00017129" w:rsidP="00017129">
      <w:r>
        <w:tab/>
        <w:t xml:space="preserve">Wszystkie większe prace powinny być wykonane przy użyciu samojezdnych </w:t>
      </w:r>
      <w:proofErr w:type="spellStart"/>
      <w:r>
        <w:t>malowarek</w:t>
      </w:r>
      <w:proofErr w:type="spellEnd"/>
      <w:r>
        <w:t xml:space="preserve"> z automatycznym podziałem linii i posypywaniem kulkami szklanymi z ew. materiałem </w:t>
      </w:r>
      <w:proofErr w:type="spellStart"/>
      <w:r>
        <w:t>uszorstniającym</w:t>
      </w:r>
      <w:proofErr w:type="spellEnd"/>
      <w:r>
        <w:t>. W przypadku mniejszych prac, wielkość, wydajność i jakość sprzętu należy dostosować do zakresu i rozmiaru prac. Decyzję dotyczącą rodzaju sprzętu i sposobu wykonania znakowania podejmuje Inżynier na wniosek Wykonawcy.</w:t>
      </w:r>
    </w:p>
    <w:p w14:paraId="1EC2FC46" w14:textId="77777777" w:rsidR="00017129" w:rsidRDefault="00017129" w:rsidP="00017129">
      <w:pPr>
        <w:pStyle w:val="Nagwek2"/>
      </w:pPr>
      <w:r>
        <w:t>5.7. Usuwanie oznakowania poziomego</w:t>
      </w:r>
    </w:p>
    <w:p w14:paraId="3954BDF5" w14:textId="77777777" w:rsidR="00017129" w:rsidRDefault="00017129" w:rsidP="00017129">
      <w:r>
        <w:tab/>
        <w:t>W przypadku konieczności usunięcia istniejącego oznakowania poziomego, czynność tę należy wykonać jak najmniej uszkadzając nawierzchnię.</w:t>
      </w:r>
    </w:p>
    <w:p w14:paraId="03082026" w14:textId="77777777" w:rsidR="00017129" w:rsidRDefault="00017129" w:rsidP="00017129">
      <w:r>
        <w:tab/>
        <w:t>Zaleca się wykonywać usuwanie oznakowania:</w:t>
      </w:r>
    </w:p>
    <w:p w14:paraId="69C5F17F" w14:textId="77777777" w:rsidR="00017129" w:rsidRDefault="00017129" w:rsidP="00017129">
      <w:pPr>
        <w:numPr>
          <w:ilvl w:val="0"/>
          <w:numId w:val="1"/>
        </w:numPr>
        <w:textAlignment w:val="auto"/>
      </w:pPr>
      <w:r>
        <w:lastRenderedPageBreak/>
        <w:t>cienkowarstwowego, metodą: frezowania, piaskowania, trawienia, wypalania lub zamalowania,</w:t>
      </w:r>
    </w:p>
    <w:p w14:paraId="69CE8EF8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punktowego, prostymi narzędziami mechanicznymi.</w:t>
      </w:r>
    </w:p>
    <w:p w14:paraId="344FBE46" w14:textId="77777777" w:rsidR="00017129" w:rsidRDefault="00017129" w:rsidP="00017129">
      <w:r>
        <w:tab/>
        <w:t>Środki zastosowane do usunięcia oznakowania nie mogą wpływać ujemnie na przyczepność nowego oznakowania do podłoża, na jego szorstkość, trwałość oraz na właściwości podłoża.</w:t>
      </w:r>
    </w:p>
    <w:p w14:paraId="724358C5" w14:textId="77777777" w:rsidR="00017129" w:rsidRDefault="00017129" w:rsidP="00017129">
      <w:r>
        <w:tab/>
        <w:t>Usuwanie oznakowania na czas robót drogowych może być wykonane przez zamalowanie nietrwałą farbą barwy czarnej.</w:t>
      </w:r>
    </w:p>
    <w:p w14:paraId="1CB17980" w14:textId="77777777" w:rsidR="00017129" w:rsidRDefault="00017129" w:rsidP="00017129">
      <w:pPr>
        <w:spacing w:after="120"/>
      </w:pPr>
      <w:r>
        <w:tab/>
        <w:t>Materiały pozostałe po usunięciu oznakowania należy usunąć z drogi tak, aby nie zanieczyszczały środowiska, w miejsce zaakceptowane przez Inżyniera.</w:t>
      </w:r>
    </w:p>
    <w:p w14:paraId="5F8EE7C2" w14:textId="77777777" w:rsidR="00017129" w:rsidRDefault="00017129" w:rsidP="00017129">
      <w:pPr>
        <w:pStyle w:val="Nagwek1"/>
      </w:pPr>
      <w:bookmarkStart w:id="5" w:name="_Toc420816685"/>
      <w:r>
        <w:t>6. kontrola jakości robót</w:t>
      </w:r>
      <w:bookmarkEnd w:id="5"/>
    </w:p>
    <w:p w14:paraId="085DE987" w14:textId="77777777" w:rsidR="00017129" w:rsidRDefault="00017129" w:rsidP="00017129">
      <w:pPr>
        <w:pStyle w:val="Nagwek2"/>
      </w:pPr>
      <w:r>
        <w:t>6.1. Ogólne zasady kontroli jakości robót</w:t>
      </w:r>
    </w:p>
    <w:p w14:paraId="15D490AD" w14:textId="77777777" w:rsidR="00017129" w:rsidRDefault="00017129" w:rsidP="00017129">
      <w:r>
        <w:tab/>
        <w:t>Ogólne zasady kontroli jakości robót podano w OST D-M-00.00.00 „Wymagania ogólne” pkt 6.</w:t>
      </w:r>
    </w:p>
    <w:p w14:paraId="16BEEBE8" w14:textId="77777777" w:rsidR="00017129" w:rsidRDefault="00017129" w:rsidP="00017129">
      <w:pPr>
        <w:pStyle w:val="Nagwek2"/>
      </w:pPr>
      <w:r>
        <w:t xml:space="preserve">6.2. Badanie przygotowania podłoża i </w:t>
      </w:r>
      <w:proofErr w:type="spellStart"/>
      <w:r>
        <w:t>przedznakowania</w:t>
      </w:r>
      <w:proofErr w:type="spellEnd"/>
    </w:p>
    <w:p w14:paraId="356CD975" w14:textId="77777777" w:rsidR="00017129" w:rsidRDefault="00017129" w:rsidP="00017129">
      <w:r>
        <w:tab/>
        <w:t>Powierzchnia jezdni przed wykonaniem znakowania poziomego musi być całkowicie czysta i sucha.</w:t>
      </w:r>
    </w:p>
    <w:p w14:paraId="2BDF1D7F" w14:textId="77777777" w:rsidR="00017129" w:rsidRDefault="00017129" w:rsidP="00017129">
      <w:r>
        <w:tab/>
      </w:r>
      <w:proofErr w:type="spellStart"/>
      <w:r>
        <w:t>Przedznakowanie</w:t>
      </w:r>
      <w:proofErr w:type="spellEnd"/>
      <w:r>
        <w:t xml:space="preserve"> powinno być wykonane zgodnie z wymaganiami punktu 5.5.</w:t>
      </w:r>
    </w:p>
    <w:p w14:paraId="297B4942" w14:textId="77777777" w:rsidR="00017129" w:rsidRDefault="00017129" w:rsidP="00017129">
      <w:pPr>
        <w:pStyle w:val="Nagwek2"/>
      </w:pPr>
      <w:r>
        <w:t>6.3. Badania wykonania oznakowania poziomego</w:t>
      </w:r>
    </w:p>
    <w:p w14:paraId="79B644B0" w14:textId="77777777" w:rsidR="00017129" w:rsidRDefault="00017129" w:rsidP="00017129">
      <w:r>
        <w:rPr>
          <w:b/>
        </w:rPr>
        <w:t xml:space="preserve">6.3.1. </w:t>
      </w:r>
      <w:r>
        <w:t>Wymagania wobec oznakowania poziomego</w:t>
      </w:r>
    </w:p>
    <w:p w14:paraId="6075FA5D" w14:textId="77777777" w:rsidR="00017129" w:rsidRDefault="00017129" w:rsidP="00017129">
      <w:pPr>
        <w:spacing w:before="120"/>
      </w:pPr>
      <w:r>
        <w:t>6.3.1.1. Widzialność w dzień</w:t>
      </w:r>
    </w:p>
    <w:p w14:paraId="2912A751" w14:textId="77777777" w:rsidR="00017129" w:rsidRDefault="00017129" w:rsidP="00017129">
      <w:pPr>
        <w:spacing w:before="120"/>
      </w:pPr>
      <w:r>
        <w:tab/>
        <w:t>Widzialność oznakowania w dzień jest określona współczynnikiem luminancji i barwą oznakowania.</w:t>
      </w:r>
    </w:p>
    <w:p w14:paraId="4BA9869F" w14:textId="77777777" w:rsidR="00017129" w:rsidRDefault="00017129" w:rsidP="00017129">
      <w:r>
        <w:tab/>
        <w:t>Do określenia odbicia światła dziennego lub odbicia oświetlenia drogi od oznakowania stosuje się współczynnik luminancji w świetle rozproszonym Q = L/E, gdzie:</w:t>
      </w:r>
    </w:p>
    <w:p w14:paraId="419E6471" w14:textId="77777777" w:rsidR="00017129" w:rsidRDefault="00017129" w:rsidP="00017129">
      <w:r>
        <w:t>Q - współczynnik luminancji w świetle rozproszonym, mcd m</w:t>
      </w:r>
      <w:r>
        <w:rPr>
          <w:vertAlign w:val="superscript"/>
        </w:rPr>
        <w:t>-2</w:t>
      </w:r>
      <w:r>
        <w:t xml:space="preserve"> lx</w:t>
      </w:r>
      <w:r>
        <w:rPr>
          <w:vertAlign w:val="superscript"/>
        </w:rPr>
        <w:t>-1</w:t>
      </w:r>
      <w:r>
        <w:t>,</w:t>
      </w:r>
    </w:p>
    <w:p w14:paraId="7480255B" w14:textId="77777777" w:rsidR="00017129" w:rsidRDefault="00017129" w:rsidP="00017129">
      <w:r>
        <w:t>L - luminancja pola w świetle rozproszonym, mcd/m</w:t>
      </w:r>
      <w:r>
        <w:rPr>
          <w:vertAlign w:val="superscript"/>
        </w:rPr>
        <w:t>2</w:t>
      </w:r>
      <w:r>
        <w:t>,</w:t>
      </w:r>
    </w:p>
    <w:p w14:paraId="7325F9E2" w14:textId="77777777" w:rsidR="00017129" w:rsidRDefault="00017129" w:rsidP="00017129">
      <w:r>
        <w:t>E - oświetlenie płaszczyzny pola, lx.</w:t>
      </w:r>
    </w:p>
    <w:p w14:paraId="12F04D9D" w14:textId="77777777" w:rsidR="00017129" w:rsidRDefault="00017129" w:rsidP="00017129">
      <w:r>
        <w:tab/>
        <w:t>Pomiary luminancji w świetle rozproszonym wykonuje się w praktyce miernikiem luminancji wg POD-97 [4]. Wartość współczynnika Q powinna wynosić dla oznakowania świeżego, barwy:</w:t>
      </w:r>
    </w:p>
    <w:p w14:paraId="27DE32EA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białej na nawierzchni asfaltowej, co najmniej 130 mcd m</w:t>
      </w:r>
      <w:r>
        <w:rPr>
          <w:vertAlign w:val="superscript"/>
        </w:rPr>
        <w:t>-2</w:t>
      </w:r>
      <w:r>
        <w:t xml:space="preserve"> lx</w:t>
      </w:r>
      <w:r>
        <w:rPr>
          <w:vertAlign w:val="superscript"/>
        </w:rPr>
        <w:t>-1</w:t>
      </w:r>
      <w:r>
        <w:t>,</w:t>
      </w:r>
    </w:p>
    <w:p w14:paraId="1253FB4D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białej na nawierzchni betonowej, co najmniej 160 mcd m</w:t>
      </w:r>
      <w:r>
        <w:rPr>
          <w:vertAlign w:val="superscript"/>
        </w:rPr>
        <w:t>-2</w:t>
      </w:r>
      <w:r>
        <w:t xml:space="preserve"> lx</w:t>
      </w:r>
      <w:r>
        <w:rPr>
          <w:vertAlign w:val="superscript"/>
        </w:rPr>
        <w:t>-1</w:t>
      </w:r>
      <w:r>
        <w:t>,</w:t>
      </w:r>
    </w:p>
    <w:p w14:paraId="3ADC669B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żółtej, co najmniej 100 mcd m</w:t>
      </w:r>
      <w:r>
        <w:rPr>
          <w:vertAlign w:val="superscript"/>
        </w:rPr>
        <w:t>-2</w:t>
      </w:r>
      <w:r>
        <w:t xml:space="preserve"> lx</w:t>
      </w:r>
      <w:r>
        <w:rPr>
          <w:vertAlign w:val="superscript"/>
        </w:rPr>
        <w:t>-1</w:t>
      </w:r>
      <w:r>
        <w:t>.</w:t>
      </w:r>
    </w:p>
    <w:p w14:paraId="3459138A" w14:textId="77777777" w:rsidR="00017129" w:rsidRDefault="00017129" w:rsidP="00017129">
      <w:r>
        <w:tab/>
        <w:t xml:space="preserve">Pomiar współczynnika luminancji w świetle rozproszonym może być zastąpiony pomiarem współczynnika luminancji </w:t>
      </w:r>
      <w:r>
        <w:sym w:font="Symbol" w:char="0062"/>
      </w:r>
      <w:r>
        <w:t xml:space="preserve">, wg POD-97 [4]. Wartość współczynnika </w:t>
      </w:r>
      <w:r>
        <w:sym w:font="Symbol" w:char="0062"/>
      </w:r>
      <w:r>
        <w:t xml:space="preserve"> powinna wynosić dla oznakowania świeżego, barwy:</w:t>
      </w:r>
    </w:p>
    <w:p w14:paraId="584F56B2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białej, co najmniej 0,60,</w:t>
      </w:r>
    </w:p>
    <w:p w14:paraId="76BDC207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żółtej, co najmniej 0,40.</w:t>
      </w:r>
    </w:p>
    <w:p w14:paraId="68C97ECD" w14:textId="77777777" w:rsidR="00017129" w:rsidRDefault="00017129" w:rsidP="00017129">
      <w:r>
        <w:tab/>
        <w:t xml:space="preserve">Wartość współczynnika </w:t>
      </w:r>
      <w:r>
        <w:sym w:font="Symbol" w:char="0062"/>
      </w:r>
      <w:r>
        <w:t xml:space="preserve"> powinna wynosić dla oznakowania używanego barwy:</w:t>
      </w:r>
    </w:p>
    <w:p w14:paraId="15126CD8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białej, po 12 miesiącach używalności, co najmniej 0,30,</w:t>
      </w:r>
    </w:p>
    <w:p w14:paraId="7EE6634C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żółtej, po 1 miesiącu używalności, co najmniej 0,20.</w:t>
      </w:r>
    </w:p>
    <w:p w14:paraId="677C49BA" w14:textId="77777777" w:rsidR="00017129" w:rsidRDefault="00017129" w:rsidP="00017129">
      <w:r>
        <w:tab/>
        <w:t>Barwa oznakowania powinna być określona wg POD-97 [4] przez współrzędne chromatyczności x i y, które dla suchego oznakowania powinny leżeć w obszarze zdefiniowanym przez cztery punkty narożne: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062"/>
        <w:gridCol w:w="1062"/>
        <w:gridCol w:w="1062"/>
        <w:gridCol w:w="1062"/>
        <w:gridCol w:w="1062"/>
      </w:tblGrid>
      <w:tr w:rsidR="00017129" w14:paraId="1394DE5C" w14:textId="77777777" w:rsidTr="00E51260">
        <w:tc>
          <w:tcPr>
            <w:tcW w:w="2197" w:type="dxa"/>
          </w:tcPr>
          <w:p w14:paraId="26254CCC" w14:textId="77777777" w:rsidR="00017129" w:rsidRDefault="00017129" w:rsidP="00E51260">
            <w:pPr>
              <w:spacing w:after="60"/>
            </w:pPr>
            <w:r>
              <w:t>Punkt narożny</w:t>
            </w:r>
          </w:p>
        </w:tc>
        <w:tc>
          <w:tcPr>
            <w:tcW w:w="1062" w:type="dxa"/>
          </w:tcPr>
          <w:p w14:paraId="7FFFFAFB" w14:textId="77777777" w:rsidR="00017129" w:rsidRDefault="00017129" w:rsidP="00E51260">
            <w:pPr>
              <w:spacing w:after="60"/>
              <w:jc w:val="center"/>
            </w:pPr>
          </w:p>
        </w:tc>
        <w:tc>
          <w:tcPr>
            <w:tcW w:w="1062" w:type="dxa"/>
          </w:tcPr>
          <w:p w14:paraId="1A4C7D53" w14:textId="77777777" w:rsidR="00017129" w:rsidRDefault="00017129" w:rsidP="00E51260">
            <w:pPr>
              <w:spacing w:after="60"/>
              <w:jc w:val="center"/>
            </w:pPr>
            <w:r>
              <w:t>1</w:t>
            </w:r>
          </w:p>
        </w:tc>
        <w:tc>
          <w:tcPr>
            <w:tcW w:w="1062" w:type="dxa"/>
          </w:tcPr>
          <w:p w14:paraId="0370A2A9" w14:textId="77777777" w:rsidR="00017129" w:rsidRDefault="00017129" w:rsidP="00E51260">
            <w:pPr>
              <w:spacing w:after="60"/>
              <w:jc w:val="center"/>
            </w:pPr>
            <w:r>
              <w:t>2</w:t>
            </w:r>
          </w:p>
        </w:tc>
        <w:tc>
          <w:tcPr>
            <w:tcW w:w="1062" w:type="dxa"/>
          </w:tcPr>
          <w:p w14:paraId="131CE824" w14:textId="77777777" w:rsidR="00017129" w:rsidRDefault="00017129" w:rsidP="00E51260">
            <w:pPr>
              <w:spacing w:after="60"/>
              <w:jc w:val="center"/>
            </w:pPr>
            <w:r>
              <w:t>3</w:t>
            </w:r>
          </w:p>
        </w:tc>
        <w:tc>
          <w:tcPr>
            <w:tcW w:w="1062" w:type="dxa"/>
          </w:tcPr>
          <w:p w14:paraId="57027023" w14:textId="77777777" w:rsidR="00017129" w:rsidRDefault="00017129" w:rsidP="00E51260">
            <w:pPr>
              <w:spacing w:after="60"/>
              <w:jc w:val="center"/>
            </w:pPr>
            <w:r>
              <w:t>4</w:t>
            </w:r>
          </w:p>
        </w:tc>
      </w:tr>
      <w:tr w:rsidR="00017129" w14:paraId="4080E34B" w14:textId="77777777" w:rsidTr="00E51260">
        <w:tc>
          <w:tcPr>
            <w:tcW w:w="2197" w:type="dxa"/>
          </w:tcPr>
          <w:p w14:paraId="51233BA0" w14:textId="77777777" w:rsidR="00017129" w:rsidRDefault="00017129" w:rsidP="00E51260">
            <w:r>
              <w:t>Oznakowanie białe:</w:t>
            </w:r>
          </w:p>
        </w:tc>
        <w:tc>
          <w:tcPr>
            <w:tcW w:w="1062" w:type="dxa"/>
          </w:tcPr>
          <w:p w14:paraId="4FB3388C" w14:textId="77777777" w:rsidR="00017129" w:rsidRDefault="00017129" w:rsidP="00E51260">
            <w:pPr>
              <w:jc w:val="center"/>
            </w:pPr>
            <w:r>
              <w:t>x</w:t>
            </w:r>
          </w:p>
          <w:p w14:paraId="298D4161" w14:textId="77777777" w:rsidR="00017129" w:rsidRDefault="00017129" w:rsidP="00E51260">
            <w:pPr>
              <w:spacing w:after="60"/>
              <w:jc w:val="center"/>
            </w:pPr>
            <w:r>
              <w:t>y</w:t>
            </w:r>
          </w:p>
        </w:tc>
        <w:tc>
          <w:tcPr>
            <w:tcW w:w="1062" w:type="dxa"/>
          </w:tcPr>
          <w:p w14:paraId="2B11FD02" w14:textId="77777777" w:rsidR="00017129" w:rsidRDefault="00017129" w:rsidP="00E51260">
            <w:pPr>
              <w:jc w:val="center"/>
            </w:pPr>
            <w:r>
              <w:t>0,4</w:t>
            </w:r>
          </w:p>
          <w:p w14:paraId="6C23F63D" w14:textId="77777777" w:rsidR="00017129" w:rsidRDefault="00017129" w:rsidP="00E51260">
            <w:pPr>
              <w:jc w:val="center"/>
            </w:pPr>
            <w:r>
              <w:t>0,4</w:t>
            </w:r>
          </w:p>
        </w:tc>
        <w:tc>
          <w:tcPr>
            <w:tcW w:w="1062" w:type="dxa"/>
          </w:tcPr>
          <w:p w14:paraId="3AAA6B0F" w14:textId="77777777" w:rsidR="00017129" w:rsidRDefault="00017129" w:rsidP="00E51260">
            <w:pPr>
              <w:jc w:val="center"/>
            </w:pPr>
            <w:r>
              <w:t>0,3</w:t>
            </w:r>
          </w:p>
          <w:p w14:paraId="36DA03AE" w14:textId="77777777" w:rsidR="00017129" w:rsidRDefault="00017129" w:rsidP="00E51260">
            <w:pPr>
              <w:jc w:val="center"/>
            </w:pPr>
            <w:r>
              <w:t>0,3</w:t>
            </w:r>
          </w:p>
        </w:tc>
        <w:tc>
          <w:tcPr>
            <w:tcW w:w="1062" w:type="dxa"/>
          </w:tcPr>
          <w:p w14:paraId="64CBECE5" w14:textId="77777777" w:rsidR="00017129" w:rsidRDefault="00017129" w:rsidP="00E51260">
            <w:pPr>
              <w:jc w:val="center"/>
            </w:pPr>
            <w:r>
              <w:t>0,3</w:t>
            </w:r>
          </w:p>
          <w:p w14:paraId="7E4C005A" w14:textId="77777777" w:rsidR="00017129" w:rsidRDefault="00017129" w:rsidP="00E51260">
            <w:pPr>
              <w:jc w:val="center"/>
            </w:pPr>
            <w:r>
              <w:t>0,3</w:t>
            </w:r>
          </w:p>
        </w:tc>
        <w:tc>
          <w:tcPr>
            <w:tcW w:w="1062" w:type="dxa"/>
          </w:tcPr>
          <w:p w14:paraId="44B683DE" w14:textId="77777777" w:rsidR="00017129" w:rsidRDefault="00017129" w:rsidP="00E51260">
            <w:pPr>
              <w:jc w:val="center"/>
            </w:pPr>
            <w:r>
              <w:t>0,34</w:t>
            </w:r>
          </w:p>
          <w:p w14:paraId="28EDA933" w14:textId="77777777" w:rsidR="00017129" w:rsidRDefault="00017129" w:rsidP="00E51260">
            <w:pPr>
              <w:jc w:val="center"/>
            </w:pPr>
            <w:r>
              <w:t>0,38</w:t>
            </w:r>
          </w:p>
        </w:tc>
      </w:tr>
      <w:tr w:rsidR="00017129" w14:paraId="6B3CF471" w14:textId="77777777" w:rsidTr="00E51260">
        <w:tc>
          <w:tcPr>
            <w:tcW w:w="2197" w:type="dxa"/>
          </w:tcPr>
          <w:p w14:paraId="2B9C7EF4" w14:textId="77777777" w:rsidR="00017129" w:rsidRDefault="00017129" w:rsidP="00E51260">
            <w:r>
              <w:t>Oznakowanie żółte:</w:t>
            </w:r>
          </w:p>
        </w:tc>
        <w:tc>
          <w:tcPr>
            <w:tcW w:w="1062" w:type="dxa"/>
          </w:tcPr>
          <w:p w14:paraId="2DBF0DCA" w14:textId="77777777" w:rsidR="00017129" w:rsidRDefault="00017129" w:rsidP="00E51260">
            <w:pPr>
              <w:jc w:val="center"/>
            </w:pPr>
            <w:r>
              <w:t>x</w:t>
            </w:r>
          </w:p>
          <w:p w14:paraId="1580CC3C" w14:textId="77777777" w:rsidR="00017129" w:rsidRDefault="00017129" w:rsidP="00E51260">
            <w:pPr>
              <w:jc w:val="center"/>
            </w:pPr>
            <w:r>
              <w:t>y</w:t>
            </w:r>
          </w:p>
        </w:tc>
        <w:tc>
          <w:tcPr>
            <w:tcW w:w="1062" w:type="dxa"/>
          </w:tcPr>
          <w:p w14:paraId="0927E913" w14:textId="77777777" w:rsidR="00017129" w:rsidRDefault="00017129" w:rsidP="00E51260">
            <w:pPr>
              <w:jc w:val="center"/>
            </w:pPr>
            <w:r>
              <w:t>0,5</w:t>
            </w:r>
          </w:p>
          <w:p w14:paraId="5B25381F" w14:textId="77777777" w:rsidR="00017129" w:rsidRDefault="00017129" w:rsidP="00E51260">
            <w:pPr>
              <w:jc w:val="center"/>
            </w:pPr>
            <w:r>
              <w:t>0,4</w:t>
            </w:r>
          </w:p>
        </w:tc>
        <w:tc>
          <w:tcPr>
            <w:tcW w:w="1062" w:type="dxa"/>
          </w:tcPr>
          <w:p w14:paraId="3DE6DC45" w14:textId="77777777" w:rsidR="00017129" w:rsidRDefault="00017129" w:rsidP="00E51260">
            <w:pPr>
              <w:jc w:val="center"/>
            </w:pPr>
            <w:r>
              <w:t>0,5</w:t>
            </w:r>
          </w:p>
          <w:p w14:paraId="5C9D2931" w14:textId="77777777" w:rsidR="00017129" w:rsidRDefault="00017129" w:rsidP="00E51260">
            <w:pPr>
              <w:jc w:val="center"/>
            </w:pPr>
            <w:r>
              <w:t>0,5</w:t>
            </w:r>
          </w:p>
        </w:tc>
        <w:tc>
          <w:tcPr>
            <w:tcW w:w="1062" w:type="dxa"/>
          </w:tcPr>
          <w:p w14:paraId="14422CBF" w14:textId="77777777" w:rsidR="00017129" w:rsidRDefault="00017129" w:rsidP="00E51260">
            <w:pPr>
              <w:jc w:val="center"/>
            </w:pPr>
            <w:r>
              <w:t>0,5</w:t>
            </w:r>
          </w:p>
          <w:p w14:paraId="49BB5D19" w14:textId="77777777" w:rsidR="00017129" w:rsidRDefault="00017129" w:rsidP="00E51260">
            <w:pPr>
              <w:jc w:val="center"/>
            </w:pPr>
            <w:r>
              <w:t>0,5</w:t>
            </w:r>
          </w:p>
        </w:tc>
        <w:tc>
          <w:tcPr>
            <w:tcW w:w="1062" w:type="dxa"/>
          </w:tcPr>
          <w:p w14:paraId="33EF6D63" w14:textId="77777777" w:rsidR="00017129" w:rsidRDefault="00017129" w:rsidP="00E51260">
            <w:pPr>
              <w:jc w:val="center"/>
            </w:pPr>
            <w:r>
              <w:t>0,43</w:t>
            </w:r>
          </w:p>
          <w:p w14:paraId="034438A0" w14:textId="77777777" w:rsidR="00017129" w:rsidRDefault="00017129" w:rsidP="00E51260">
            <w:pPr>
              <w:jc w:val="center"/>
            </w:pPr>
            <w:r>
              <w:t>0,48</w:t>
            </w:r>
          </w:p>
        </w:tc>
      </w:tr>
    </w:tbl>
    <w:p w14:paraId="1C7A743D" w14:textId="77777777" w:rsidR="00017129" w:rsidRDefault="00017129" w:rsidP="00017129">
      <w:pPr>
        <w:spacing w:before="120" w:after="120"/>
      </w:pPr>
      <w:r>
        <w:t>6.3.1.2. Widzialność w nocy</w:t>
      </w:r>
    </w:p>
    <w:p w14:paraId="20CA02D5" w14:textId="77777777" w:rsidR="00017129" w:rsidRDefault="00017129" w:rsidP="00017129">
      <w:r>
        <w:tab/>
        <w:t>Za miarę widzialności w nocy przyjęto powierzchniowy współczynnik odblasku R</w:t>
      </w:r>
      <w:r>
        <w:rPr>
          <w:vertAlign w:val="subscript"/>
        </w:rPr>
        <w:t>L</w:t>
      </w:r>
      <w:r>
        <w:t>, określany wg POD-97 [4].</w:t>
      </w:r>
    </w:p>
    <w:p w14:paraId="00DB617A" w14:textId="77777777" w:rsidR="00017129" w:rsidRDefault="00017129" w:rsidP="00017129">
      <w:r>
        <w:tab/>
        <w:t>Wartość współczynnika R</w:t>
      </w:r>
      <w:r>
        <w:rPr>
          <w:vertAlign w:val="subscript"/>
        </w:rPr>
        <w:t>L</w:t>
      </w:r>
      <w:r>
        <w:t xml:space="preserve"> powinna wynosić dla oznakowania świeżego w stanie suchym, barwy:</w:t>
      </w:r>
    </w:p>
    <w:p w14:paraId="7B372C5B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białej, co najmniej 300 mcd m</w:t>
      </w:r>
      <w:r>
        <w:rPr>
          <w:vertAlign w:val="superscript"/>
        </w:rPr>
        <w:t>-2</w:t>
      </w:r>
      <w:r>
        <w:t xml:space="preserve"> lx</w:t>
      </w:r>
      <w:r>
        <w:rPr>
          <w:vertAlign w:val="superscript"/>
        </w:rPr>
        <w:t>-1</w:t>
      </w:r>
      <w:r>
        <w:t>,</w:t>
      </w:r>
    </w:p>
    <w:p w14:paraId="0EAD9141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żółtej, co najmniej 200 mcd m</w:t>
      </w:r>
      <w:r>
        <w:rPr>
          <w:vertAlign w:val="superscript"/>
        </w:rPr>
        <w:t>-2</w:t>
      </w:r>
      <w:r>
        <w:t xml:space="preserve"> lx</w:t>
      </w:r>
      <w:r>
        <w:rPr>
          <w:vertAlign w:val="superscript"/>
        </w:rPr>
        <w:t>-1</w:t>
      </w:r>
      <w:r>
        <w:t>.</w:t>
      </w:r>
    </w:p>
    <w:p w14:paraId="33AA22BC" w14:textId="77777777" w:rsidR="00017129" w:rsidRDefault="00017129" w:rsidP="00017129">
      <w:r>
        <w:tab/>
        <w:t>Wartość współczynnika R</w:t>
      </w:r>
      <w:r>
        <w:rPr>
          <w:vertAlign w:val="subscript"/>
        </w:rPr>
        <w:t>L</w:t>
      </w:r>
      <w:r>
        <w:t xml:space="preserve"> powinna wynosić dla oznakowania używanego:</w:t>
      </w:r>
    </w:p>
    <w:p w14:paraId="21036203" w14:textId="77777777" w:rsidR="00017129" w:rsidRDefault="001B7696" w:rsidP="00017129">
      <w:r>
        <w:t>a) cienkow</w:t>
      </w:r>
      <w:r w:rsidR="00017129">
        <w:t>arstwowego barwy:</w:t>
      </w:r>
    </w:p>
    <w:p w14:paraId="19D3CD28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białej, po 12 miesiącach eksploatacji, co najmniej 100 mcd m</w:t>
      </w:r>
      <w:r>
        <w:rPr>
          <w:vertAlign w:val="superscript"/>
        </w:rPr>
        <w:t>-2</w:t>
      </w:r>
      <w:r>
        <w:t xml:space="preserve"> lx</w:t>
      </w:r>
      <w:r>
        <w:rPr>
          <w:vertAlign w:val="superscript"/>
        </w:rPr>
        <w:t>-1</w:t>
      </w:r>
      <w:r>
        <w:t>,</w:t>
      </w:r>
    </w:p>
    <w:p w14:paraId="6D72369E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żółtej, po 1 miesiącu eksploatacji, co najmniej 150 mcd m</w:t>
      </w:r>
      <w:r>
        <w:rPr>
          <w:vertAlign w:val="superscript"/>
        </w:rPr>
        <w:t>-2</w:t>
      </w:r>
      <w:r>
        <w:t xml:space="preserve"> lx</w:t>
      </w:r>
      <w:r>
        <w:rPr>
          <w:vertAlign w:val="superscript"/>
        </w:rPr>
        <w:t>-1</w:t>
      </w:r>
      <w:r>
        <w:t>,</w:t>
      </w:r>
    </w:p>
    <w:p w14:paraId="51A6495A" w14:textId="77777777" w:rsidR="00017129" w:rsidRDefault="00017129" w:rsidP="00017129">
      <w:r>
        <w:lastRenderedPageBreak/>
        <w:t>b) folii:</w:t>
      </w:r>
    </w:p>
    <w:p w14:paraId="7358E892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 xml:space="preserve">dla </w:t>
      </w:r>
      <w:proofErr w:type="spellStart"/>
      <w:r>
        <w:t>oznakowań</w:t>
      </w:r>
      <w:proofErr w:type="spellEnd"/>
      <w:r>
        <w:t xml:space="preserve"> trwałych i długotrwałych (białych), co najmniej 300 mcd m</w:t>
      </w:r>
      <w:r>
        <w:rPr>
          <w:vertAlign w:val="superscript"/>
        </w:rPr>
        <w:t>-2</w:t>
      </w:r>
      <w:r>
        <w:t xml:space="preserve"> lx</w:t>
      </w:r>
      <w:r>
        <w:rPr>
          <w:vertAlign w:val="superscript"/>
        </w:rPr>
        <w:t>-1</w:t>
      </w:r>
      <w:r>
        <w:t>,</w:t>
      </w:r>
    </w:p>
    <w:p w14:paraId="34DF11F1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 xml:space="preserve">dla </w:t>
      </w:r>
      <w:proofErr w:type="spellStart"/>
      <w:r>
        <w:t>oznakowań</w:t>
      </w:r>
      <w:proofErr w:type="spellEnd"/>
      <w:r>
        <w:t xml:space="preserve"> tymczasowych (żółtych), co najmniej 300 mcd m</w:t>
      </w:r>
      <w:r>
        <w:rPr>
          <w:vertAlign w:val="superscript"/>
        </w:rPr>
        <w:t>-2</w:t>
      </w:r>
      <w:r>
        <w:t xml:space="preserve"> lx</w:t>
      </w:r>
      <w:r>
        <w:rPr>
          <w:vertAlign w:val="superscript"/>
        </w:rPr>
        <w:t>-1</w:t>
      </w:r>
      <w:r>
        <w:t>.</w:t>
      </w:r>
    </w:p>
    <w:p w14:paraId="6CC0096A" w14:textId="77777777" w:rsidR="00017129" w:rsidRDefault="00017129" w:rsidP="00017129">
      <w:pPr>
        <w:spacing w:before="120"/>
      </w:pPr>
      <w:r>
        <w:t>6.3.1.3. Szorstkość oznakowania</w:t>
      </w:r>
    </w:p>
    <w:p w14:paraId="1E36108F" w14:textId="77777777" w:rsidR="00017129" w:rsidRDefault="00017129" w:rsidP="00017129">
      <w:pPr>
        <w:spacing w:before="120"/>
      </w:pPr>
      <w:r>
        <w:tab/>
        <w:t>Miarą szorstkości oznakowania jest wartość wskaźnika szorstkości SRT (</w:t>
      </w:r>
      <w:proofErr w:type="spellStart"/>
      <w:r>
        <w:t>Skid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 xml:space="preserve"> Tester) mierzona wahadłem angielskim, wg POD-97 [4]. Wartość SRT symuluje warunki, w których pojazd wyposażony w typowe opony hamuje z blokadą kół przy prędkości </w:t>
      </w:r>
      <w:smartTag w:uri="urn:schemas-microsoft-com:office:smarttags" w:element="metricconverter">
        <w:smartTagPr>
          <w:attr w:name="ProductID" w:val="50 km/h"/>
        </w:smartTagPr>
        <w:r>
          <w:t>50 km/h</w:t>
        </w:r>
      </w:smartTag>
      <w:r>
        <w:t xml:space="preserve"> na mokrej  nawierzchni.</w:t>
      </w:r>
    </w:p>
    <w:p w14:paraId="1B260AE7" w14:textId="77777777" w:rsidR="00017129" w:rsidRDefault="00017129" w:rsidP="00017129">
      <w:r>
        <w:tab/>
        <w:t>Wymaga się, aby wartość wskaźnika szorstkości SRT wynosiła na oznakowaniu:</w:t>
      </w:r>
    </w:p>
    <w:p w14:paraId="1D7D084D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świeżym, co najmniej 50 jednostek SRT,</w:t>
      </w:r>
    </w:p>
    <w:p w14:paraId="60B43748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używanym, w ciągu całego okresu użytkowania, co najmniej 45 jednostek SRT.</w:t>
      </w:r>
    </w:p>
    <w:p w14:paraId="7CB99FAB" w14:textId="77777777" w:rsidR="00017129" w:rsidRDefault="00017129" w:rsidP="00017129">
      <w:r>
        <w:tab/>
        <w:t>Dla punktowych elementów odblaskowych badań szorstkości nie wykonuje się.</w:t>
      </w:r>
    </w:p>
    <w:p w14:paraId="782F4D24" w14:textId="77777777" w:rsidR="00017129" w:rsidRDefault="00017129" w:rsidP="00017129">
      <w:pPr>
        <w:spacing w:before="120"/>
      </w:pPr>
      <w:r>
        <w:t>6.3.1.4. Trwałość oznakowania</w:t>
      </w:r>
    </w:p>
    <w:p w14:paraId="49AF5F2E" w14:textId="77777777" w:rsidR="00017129" w:rsidRDefault="00017129" w:rsidP="00017129">
      <w:pPr>
        <w:spacing w:before="120"/>
      </w:pPr>
      <w:r>
        <w:tab/>
        <w:t>Trwałość oznakowania oceniana jako stopień zużycia w 10-stopniowej skali na zasadzie porównania z wzorcami, wg POD-97 [4], powinna wynosić po 12-miesięcznym okresie eksploatacji oznakowania wykonanego:</w:t>
      </w:r>
    </w:p>
    <w:p w14:paraId="67E34059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farbami wodorozcieńczalnymi, co najmniej 5,</w:t>
      </w:r>
    </w:p>
    <w:p w14:paraId="142891F7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pozostałymi materiałami, co najmniej 6.</w:t>
      </w:r>
    </w:p>
    <w:p w14:paraId="73747F54" w14:textId="77777777" w:rsidR="00017129" w:rsidRDefault="00017129" w:rsidP="00017129">
      <w:pPr>
        <w:keepNext/>
        <w:spacing w:before="120"/>
      </w:pPr>
      <w:r>
        <w:t>6.3.1.5. Czas schnięcia oznakowania (wzgl. czas przejezdności oznakowania)</w:t>
      </w:r>
    </w:p>
    <w:p w14:paraId="5745A81C" w14:textId="77777777" w:rsidR="00017129" w:rsidRDefault="00017129" w:rsidP="00017129">
      <w:pPr>
        <w:spacing w:before="120"/>
      </w:pPr>
      <w:r>
        <w:tab/>
        <w:t>Za czas schnięcia oznakowania przyjmuje się czas upływający między wykonaniem oznakowania a jego oddaniem do ruchu.</w:t>
      </w:r>
    </w:p>
    <w:p w14:paraId="264F17E9" w14:textId="77777777" w:rsidR="00017129" w:rsidRDefault="00017129" w:rsidP="00017129">
      <w:r>
        <w:tab/>
        <w:t>Czas schnięcia oznakowania nie powinien przekraczać czasu gwarantowanego przez producenta, z tym że nie może przekraczać 2 godzin.</w:t>
      </w:r>
    </w:p>
    <w:p w14:paraId="43550209" w14:textId="77777777" w:rsidR="00017129" w:rsidRDefault="00017129" w:rsidP="00017129">
      <w:pPr>
        <w:spacing w:before="120"/>
      </w:pPr>
      <w:r>
        <w:t>6.3.1.6. Grubość oznakowania</w:t>
      </w:r>
    </w:p>
    <w:p w14:paraId="2F3BFC8C" w14:textId="77777777" w:rsidR="00017129" w:rsidRDefault="00017129" w:rsidP="00017129">
      <w:pPr>
        <w:spacing w:before="120"/>
      </w:pPr>
      <w:r>
        <w:tab/>
        <w:t>Grubość oznakowania, tj. podwyższenie ponad górną powierzchnię nawierzchni, powinna wynosić dla:</w:t>
      </w:r>
    </w:p>
    <w:p w14:paraId="2B544234" w14:textId="77777777" w:rsidR="00017129" w:rsidRDefault="00017129" w:rsidP="00017129">
      <w:pPr>
        <w:numPr>
          <w:ilvl w:val="0"/>
          <w:numId w:val="3"/>
        </w:numPr>
        <w:textAlignment w:val="auto"/>
      </w:pPr>
      <w:r>
        <w:t xml:space="preserve">oznakowania cienkowarstwowego (grubość na mokro bez kulek szklanych), co najwyżej 800 </w:t>
      </w:r>
      <w:r>
        <w:sym w:font="Symbol" w:char="006D"/>
      </w:r>
      <w:r>
        <w:t>m,</w:t>
      </w:r>
    </w:p>
    <w:p w14:paraId="5A7C9955" w14:textId="77777777" w:rsidR="00017129" w:rsidRDefault="00017129" w:rsidP="00017129">
      <w:pPr>
        <w:numPr>
          <w:ilvl w:val="0"/>
          <w:numId w:val="3"/>
        </w:numPr>
        <w:textAlignment w:val="auto"/>
      </w:pPr>
      <w:r>
        <w:t xml:space="preserve">punktowych elementów odblaskowych umieszczanych na części jezdnej drogi, co najwyżej </w:t>
      </w:r>
      <w:smartTag w:uri="urn:schemas-microsoft-com:office:smarttags" w:element="metricconverter">
        <w:smartTagPr>
          <w:attr w:name="ProductID" w:val="15 mm"/>
        </w:smartTagPr>
        <w:r>
          <w:t>15 mm</w:t>
        </w:r>
      </w:smartTag>
      <w:r>
        <w:t xml:space="preserve">, a w uzasadnionych przypadkach ustalonych w dokumentacji projektowej, co najwyżej </w:t>
      </w:r>
      <w:smartTag w:uri="urn:schemas-microsoft-com:office:smarttags" w:element="metricconverter">
        <w:smartTagPr>
          <w:attr w:name="ProductID" w:val="25 mm"/>
        </w:smartTagPr>
        <w:r>
          <w:t>25 mm</w:t>
        </w:r>
      </w:smartTag>
      <w:r>
        <w:t>.</w:t>
      </w:r>
    </w:p>
    <w:p w14:paraId="791346EA" w14:textId="77777777" w:rsidR="00017129" w:rsidRDefault="00017129" w:rsidP="00017129">
      <w:r>
        <w:tab/>
        <w:t>Wymagania te nie obowiązują, jeśli nawierzchnia pod znakowaniem jest wyfrezowana.</w:t>
      </w:r>
    </w:p>
    <w:p w14:paraId="73947491" w14:textId="77777777" w:rsidR="001B7696" w:rsidRDefault="00017129" w:rsidP="00017129">
      <w:pPr>
        <w:spacing w:before="120"/>
      </w:pPr>
      <w:r>
        <w:rPr>
          <w:b/>
        </w:rPr>
        <w:t xml:space="preserve">6.3.2. </w:t>
      </w:r>
      <w:r>
        <w:t>Badania wykonania znakowania poziomego z</w:t>
      </w:r>
      <w:r w:rsidR="001B7696">
        <w:t xml:space="preserve"> materiału cienkowarstwowego </w:t>
      </w:r>
    </w:p>
    <w:p w14:paraId="2148DEBB" w14:textId="77777777" w:rsidR="00017129" w:rsidRDefault="00017129" w:rsidP="00017129">
      <w:pPr>
        <w:spacing w:before="120"/>
      </w:pPr>
      <w:r>
        <w:tab/>
        <w:t xml:space="preserve">Wykonawca wykonując znakowanie poziome </w:t>
      </w:r>
      <w:r w:rsidR="001B7696">
        <w:t>z materiału cienkow</w:t>
      </w:r>
      <w:r>
        <w:t>arstwowego przeprowadza przed rozpoczęciem każdej pracy oraz w czasie jej wykonywania, co najmniej raz dziennie, lub zgodnie z ustaleniem SST, następujące badania:</w:t>
      </w:r>
    </w:p>
    <w:p w14:paraId="03956FBF" w14:textId="77777777" w:rsidR="00017129" w:rsidRDefault="00017129" w:rsidP="00017129">
      <w:r>
        <w:t>a) przed rozpoczęciem pracy:</w:t>
      </w:r>
    </w:p>
    <w:p w14:paraId="16ECB4A0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sprawdzenie oznakowania opakowań,</w:t>
      </w:r>
    </w:p>
    <w:p w14:paraId="11DA277C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wizualną ocenę stanu  materiału, w zakresie jego jednorodności i widocznych wad,</w:t>
      </w:r>
    </w:p>
    <w:p w14:paraId="79296CDA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pomiar wilgotności względnej powietrza,</w:t>
      </w:r>
    </w:p>
    <w:p w14:paraId="4541D8DD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pomiar temperatury powietrza i nawierzchni,</w:t>
      </w:r>
    </w:p>
    <w:p w14:paraId="0A295EE5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badanie lepkości farby (cienkowarstwowej), wg POD-97 [4],</w:t>
      </w:r>
    </w:p>
    <w:p w14:paraId="702A2B0A" w14:textId="77777777" w:rsidR="00017129" w:rsidRDefault="00017129" w:rsidP="00017129">
      <w:r>
        <w:t>b) w czasie wykonywania pracy:</w:t>
      </w:r>
    </w:p>
    <w:p w14:paraId="1CC21326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pomiar grubości warstwy oznakowania,</w:t>
      </w:r>
    </w:p>
    <w:p w14:paraId="5C655DAA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pomiar czasu schnięcia, wg POD-97 [4],</w:t>
      </w:r>
    </w:p>
    <w:p w14:paraId="37C719D3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wizualną ocenę równomierności rozłożenia kulek szklanych,</w:t>
      </w:r>
    </w:p>
    <w:p w14:paraId="6C369009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pomiar poziomych wymiarów oznakowania, na zgodność z dokumentacją projektową i „Instrukcją o znakach drogowych poziomych” [3],</w:t>
      </w:r>
    </w:p>
    <w:p w14:paraId="0440A80D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wizualną ocenę równomierności skropienia (rozłożenia materiału) na całej szerokości linii,</w:t>
      </w:r>
    </w:p>
    <w:p w14:paraId="3F7BBB16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oznaczenia czasu przejezdności, wg POD-97 [4].</w:t>
      </w:r>
    </w:p>
    <w:p w14:paraId="08C515F5" w14:textId="77777777" w:rsidR="00017129" w:rsidRDefault="00017129" w:rsidP="00017129">
      <w:r>
        <w:tab/>
        <w:t xml:space="preserve">Protokół z przeprowadzonych badań wraz z jedną próbką na blasze (300 x 250        x </w:t>
      </w:r>
      <w:smartTag w:uri="urn:schemas-microsoft-com:office:smarttags" w:element="metricconverter">
        <w:smartTagPr>
          <w:attr w:name="ProductID" w:val="0,8 mm"/>
        </w:smartTagPr>
        <w:r>
          <w:t>0,8 mm</w:t>
        </w:r>
      </w:smartTag>
      <w:r>
        <w:t>) Wykonawca powinien przechować do czasu upływu okresu gwarancji.</w:t>
      </w:r>
    </w:p>
    <w:p w14:paraId="0BE81F1D" w14:textId="77777777" w:rsidR="00017129" w:rsidRDefault="00017129" w:rsidP="00017129">
      <w:r>
        <w:tab/>
        <w:t>W przypadku wątpliwości dotyczących wykonania oznakowania poziomego, Inżynier może zlecić wykonanie badań:</w:t>
      </w:r>
    </w:p>
    <w:p w14:paraId="62FE5D78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widzialności w dzień,</w:t>
      </w:r>
    </w:p>
    <w:p w14:paraId="5354BECD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widzialności w nocy,</w:t>
      </w:r>
    </w:p>
    <w:p w14:paraId="7528A220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szorstkości,</w:t>
      </w:r>
    </w:p>
    <w:p w14:paraId="32E095CB" w14:textId="77777777" w:rsidR="00017129" w:rsidRDefault="00017129" w:rsidP="00017129">
      <w:r>
        <w:lastRenderedPageBreak/>
        <w:t>odpowiadających wymaganiom podanym w punkcie 6.3.1 i wykonanych według metod określonych w „Warunkach technicznych POD-</w:t>
      </w:r>
      <w:smartTag w:uri="urn:schemas-microsoft-com:office:smarttags" w:element="metricconverter">
        <w:smartTagPr>
          <w:attr w:name="ProductID" w:val="97”"/>
        </w:smartTagPr>
        <w:r>
          <w:t>97”</w:t>
        </w:r>
      </w:smartTag>
      <w:r>
        <w:t xml:space="preserve"> [4]. Jeżeli wyniki tych badań wykażą wadliwość wykonanego oznakowania to koszt badań ponosi Wykonawca, w przypadku przeciwnym - Zamawiający.</w:t>
      </w:r>
    </w:p>
    <w:p w14:paraId="6CDF6370" w14:textId="77777777" w:rsidR="00017129" w:rsidRDefault="00017129" w:rsidP="00017129">
      <w:pPr>
        <w:spacing w:before="120"/>
      </w:pPr>
      <w:r>
        <w:rPr>
          <w:b/>
        </w:rPr>
        <w:t xml:space="preserve">6.3.3. </w:t>
      </w:r>
      <w:r>
        <w:t>Badania wykonania znakowania poziomego z punktowych elementów odblaskowych</w:t>
      </w:r>
    </w:p>
    <w:p w14:paraId="50F69F98" w14:textId="77777777" w:rsidR="00017129" w:rsidRDefault="00017129" w:rsidP="00017129">
      <w:pPr>
        <w:spacing w:before="120"/>
      </w:pPr>
      <w:r>
        <w:tab/>
        <w:t>Wykonawca wykonując znakowanie z prefabrykowanych elementów odblaskowych przeprowadza, co najmniej raz dziennie lub zgodnie z ustaleniem SST, następujące badania:</w:t>
      </w:r>
    </w:p>
    <w:p w14:paraId="2055773E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sprawdzenie oznakowania opakowań,</w:t>
      </w:r>
    </w:p>
    <w:p w14:paraId="09CC4404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sprawdzenie rodzaju stosowanego kleju lub innych elementów mocujących, zgodnie z zaleceniami SST,</w:t>
      </w:r>
    </w:p>
    <w:p w14:paraId="7C5A13A8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wizualną ocenę stanu elementów, w zakresie ich kompletności i braku wad,</w:t>
      </w:r>
    </w:p>
    <w:p w14:paraId="26B11BCE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wilgotności względnej powietrza,</w:t>
      </w:r>
    </w:p>
    <w:p w14:paraId="73846667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temperatury powietrza i nawierzchni,</w:t>
      </w:r>
    </w:p>
    <w:p w14:paraId="395982F1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pomiaru czasu oddania do ruchu (schnięcia),</w:t>
      </w:r>
    </w:p>
    <w:p w14:paraId="3A012567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wizualną ocenę liniowości przyklejenia elementów,</w:t>
      </w:r>
    </w:p>
    <w:p w14:paraId="5904AFB1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równomierności przyklejenia elementów na całej długości linii,</w:t>
      </w:r>
    </w:p>
    <w:p w14:paraId="23D4F9E3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zgodności wykonania oznakowania z dokumentacja projektową i „Instrukcją o znakach drogowych poziomych” [3].</w:t>
      </w:r>
    </w:p>
    <w:p w14:paraId="3C83321C" w14:textId="77777777" w:rsidR="00017129" w:rsidRDefault="00017129" w:rsidP="00017129">
      <w:pPr>
        <w:ind w:firstLine="709"/>
      </w:pPr>
      <w:r>
        <w:t>Protokół z przeprowadzonych badań wraz z próbkami przyklejanych elementów, w liczbie określonej w SST, Wykonawca przechowuje do czasu upływu okresu gwarancji.</w:t>
      </w:r>
    </w:p>
    <w:p w14:paraId="1026424D" w14:textId="77777777" w:rsidR="00017129" w:rsidRDefault="00017129" w:rsidP="00017129">
      <w:r>
        <w:tab/>
        <w:t>W przypadku wątpliwości dotyczących wykonania oznakowania poziomego Inżynier  może zlecić wykonanie badań:</w:t>
      </w:r>
    </w:p>
    <w:p w14:paraId="26CA4D8E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widzialności w dzień,</w:t>
      </w:r>
    </w:p>
    <w:p w14:paraId="3A0E024C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widzialności w nocy,</w:t>
      </w:r>
    </w:p>
    <w:p w14:paraId="467B02EA" w14:textId="77777777" w:rsidR="00017129" w:rsidRDefault="00017129" w:rsidP="00017129">
      <w:r>
        <w:t>odpowiadających wymaganiom podanym w punkcie 6.3.1 i wykonanych według metod określonych w „Warunkach technicznych POD-</w:t>
      </w:r>
      <w:smartTag w:uri="urn:schemas-microsoft-com:office:smarttags" w:element="metricconverter">
        <w:smartTagPr>
          <w:attr w:name="ProductID" w:val="97”"/>
        </w:smartTagPr>
        <w:r>
          <w:t>97”</w:t>
        </w:r>
      </w:smartTag>
      <w:r>
        <w:t xml:space="preserve"> [4]. Jeśli wyniki tych badań wykażą wadliwość wykonanego oznakowania to koszt badań ponosi Wykonawca, w przypadku przeciwnym - Zamawiający.</w:t>
      </w:r>
    </w:p>
    <w:p w14:paraId="782B94A9" w14:textId="77777777" w:rsidR="00017129" w:rsidRDefault="00017129" w:rsidP="00017129"/>
    <w:p w14:paraId="3AF30670" w14:textId="77777777" w:rsidR="00017129" w:rsidRDefault="00017129" w:rsidP="00017129">
      <w:pPr>
        <w:spacing w:before="120" w:after="120"/>
      </w:pPr>
      <w:r>
        <w:rPr>
          <w:b/>
        </w:rPr>
        <w:t xml:space="preserve">6.3.4. </w:t>
      </w:r>
      <w:r>
        <w:t>Zbiorcze zestawienie wymagań dla materiałów i wykonanego oznakowania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1275"/>
        <w:gridCol w:w="1171"/>
      </w:tblGrid>
      <w:tr w:rsidR="001B7696" w14:paraId="3FA11A84" w14:textId="77777777" w:rsidTr="00E51260">
        <w:trPr>
          <w:gridAfter w:val="1"/>
          <w:wAfter w:w="1171" w:type="dxa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4AD806" w14:textId="77777777" w:rsidR="001B7696" w:rsidRDefault="001B7696" w:rsidP="00E51260">
            <w:pPr>
              <w:jc w:val="center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A4E0FC9" w14:textId="77777777" w:rsidR="001B7696" w:rsidRDefault="001B7696" w:rsidP="00E51260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FC04EEF" w14:textId="77777777" w:rsidR="001B7696" w:rsidRDefault="001B7696" w:rsidP="00E51260">
            <w:pPr>
              <w:jc w:val="center"/>
            </w:pPr>
          </w:p>
        </w:tc>
      </w:tr>
      <w:tr w:rsidR="001B7696" w14:paraId="625F2E22" w14:textId="77777777" w:rsidTr="00E51260"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82FED0" w14:textId="77777777" w:rsidR="001B7696" w:rsidRDefault="001B7696" w:rsidP="00E51260">
            <w:pPr>
              <w:jc w:val="center"/>
            </w:pPr>
            <w:r>
              <w:t>Lp.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7648A2" w14:textId="77777777" w:rsidR="001B7696" w:rsidRDefault="001B7696" w:rsidP="00E51260">
            <w:pPr>
              <w:jc w:val="center"/>
            </w:pPr>
            <w:r>
              <w:t>Rodzaj wymagania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CD24E0" w14:textId="77777777" w:rsidR="001B7696" w:rsidRDefault="001B7696" w:rsidP="00E51260">
            <w:pPr>
              <w:jc w:val="center"/>
            </w:pPr>
            <w:r>
              <w:t xml:space="preserve">Jednostka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0C7DCB" w14:textId="77777777" w:rsidR="001B7696" w:rsidRDefault="001B7696" w:rsidP="00E51260">
            <w:pPr>
              <w:jc w:val="center"/>
            </w:pPr>
            <w:proofErr w:type="spellStart"/>
            <w:r>
              <w:t>cienkowars</w:t>
            </w:r>
            <w:proofErr w:type="spellEnd"/>
            <w:r>
              <w:t>-</w:t>
            </w:r>
          </w:p>
          <w:p w14:paraId="3142951C" w14:textId="77777777" w:rsidR="001B7696" w:rsidRDefault="001B7696" w:rsidP="00E51260">
            <w:pPr>
              <w:jc w:val="center"/>
            </w:pPr>
            <w:proofErr w:type="spellStart"/>
            <w:r>
              <w:t>twowego</w:t>
            </w:r>
            <w:proofErr w:type="spellEnd"/>
          </w:p>
        </w:tc>
      </w:tr>
      <w:tr w:rsidR="001B7696" w14:paraId="57F3C896" w14:textId="77777777" w:rsidTr="00E51260">
        <w:tc>
          <w:tcPr>
            <w:tcW w:w="49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9BBD2" w14:textId="77777777" w:rsidR="001B7696" w:rsidRDefault="001B7696" w:rsidP="00E51260">
            <w:pPr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74F96" w14:textId="77777777" w:rsidR="001B7696" w:rsidRDefault="001B7696" w:rsidP="00E51260">
            <w:r>
              <w:t>Zawartość składników lotnych w materiałach do znakowania</w:t>
            </w:r>
          </w:p>
          <w:p w14:paraId="0C2527B4" w14:textId="77777777" w:rsidR="001B7696" w:rsidRDefault="001B7696" w:rsidP="00E51260">
            <w:r>
              <w:t>- rozpuszczalników organicznych</w:t>
            </w:r>
          </w:p>
          <w:p w14:paraId="0870E1C3" w14:textId="77777777" w:rsidR="001B7696" w:rsidRDefault="001B7696" w:rsidP="00E51260">
            <w:r>
              <w:t>- rozpuszczalników aromatycznych</w:t>
            </w:r>
          </w:p>
          <w:p w14:paraId="6D91A03F" w14:textId="77777777" w:rsidR="001B7696" w:rsidRDefault="001B7696" w:rsidP="00E51260">
            <w:pPr>
              <w:jc w:val="left"/>
            </w:pPr>
            <w:r>
              <w:t xml:space="preserve">- benzenu i rozpuszczalników   </w:t>
            </w:r>
          </w:p>
          <w:p w14:paraId="06BD89C0" w14:textId="77777777" w:rsidR="001B7696" w:rsidRDefault="001B7696" w:rsidP="00E51260">
            <w:pPr>
              <w:jc w:val="left"/>
            </w:pPr>
            <w:r>
              <w:t xml:space="preserve">   chlorowanych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A3DC7" w14:textId="77777777" w:rsidR="001B7696" w:rsidRDefault="001B7696" w:rsidP="00E51260">
            <w:pPr>
              <w:jc w:val="center"/>
            </w:pPr>
          </w:p>
          <w:p w14:paraId="1100C985" w14:textId="77777777" w:rsidR="001B7696" w:rsidRDefault="001B7696" w:rsidP="00E51260">
            <w:pPr>
              <w:jc w:val="center"/>
            </w:pPr>
          </w:p>
          <w:p w14:paraId="663FBF11" w14:textId="77777777" w:rsidR="001B7696" w:rsidRDefault="001B7696" w:rsidP="00E51260">
            <w:pPr>
              <w:jc w:val="center"/>
            </w:pPr>
            <w:r>
              <w:t>% (m/m)</w:t>
            </w:r>
          </w:p>
          <w:p w14:paraId="3691E184" w14:textId="77777777" w:rsidR="001B7696" w:rsidRDefault="001B7696" w:rsidP="00E51260">
            <w:pPr>
              <w:jc w:val="center"/>
            </w:pPr>
            <w:r>
              <w:t>% (m/m)</w:t>
            </w:r>
          </w:p>
          <w:p w14:paraId="158565D7" w14:textId="77777777" w:rsidR="001B7696" w:rsidRDefault="001B7696" w:rsidP="00E51260">
            <w:pPr>
              <w:jc w:val="center"/>
            </w:pPr>
            <w:r>
              <w:t>% (m/m)</w:t>
            </w:r>
          </w:p>
        </w:tc>
        <w:tc>
          <w:tcPr>
            <w:tcW w:w="117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9743" w14:textId="77777777" w:rsidR="001B7696" w:rsidRDefault="001B7696" w:rsidP="00E51260">
            <w:pPr>
              <w:jc w:val="center"/>
            </w:pPr>
          </w:p>
          <w:p w14:paraId="60D7BAFB" w14:textId="77777777" w:rsidR="001B7696" w:rsidRDefault="001B7696" w:rsidP="00E51260">
            <w:pPr>
              <w:jc w:val="center"/>
            </w:pPr>
          </w:p>
          <w:p w14:paraId="4F2D20A0" w14:textId="77777777" w:rsidR="001B7696" w:rsidRDefault="001B7696" w:rsidP="00E51260">
            <w:pPr>
              <w:jc w:val="center"/>
            </w:pPr>
            <w:r>
              <w:sym w:font="Symbol" w:char="00A3"/>
            </w:r>
            <w:r>
              <w:t xml:space="preserve"> 30</w:t>
            </w:r>
          </w:p>
          <w:p w14:paraId="1149741E" w14:textId="77777777" w:rsidR="001B7696" w:rsidRDefault="001B7696" w:rsidP="00E51260">
            <w:pPr>
              <w:jc w:val="center"/>
            </w:pPr>
            <w:r>
              <w:sym w:font="Symbol" w:char="00A3"/>
            </w:r>
            <w:r>
              <w:t xml:space="preserve"> 10</w:t>
            </w:r>
          </w:p>
          <w:p w14:paraId="49F85C25" w14:textId="77777777" w:rsidR="001B7696" w:rsidRDefault="001B7696" w:rsidP="00E51260">
            <w:pPr>
              <w:jc w:val="center"/>
            </w:pPr>
            <w:r>
              <w:t>0</w:t>
            </w:r>
          </w:p>
        </w:tc>
      </w:tr>
      <w:tr w:rsidR="001B7696" w14:paraId="105F4384" w14:textId="77777777" w:rsidTr="00E5126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317D5" w14:textId="77777777" w:rsidR="001B7696" w:rsidRDefault="001B7696" w:rsidP="00E51260">
            <w:pPr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60B16" w14:textId="77777777" w:rsidR="001B7696" w:rsidRDefault="001B7696" w:rsidP="00E51260">
            <w:r>
              <w:t>Współczynnik załamania światła kulek szklanych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43A7C" w14:textId="77777777" w:rsidR="001B7696" w:rsidRDefault="001B7696" w:rsidP="00E51260">
            <w:pPr>
              <w:spacing w:before="120"/>
              <w:jc w:val="center"/>
            </w:pPr>
            <w:proofErr w:type="spellStart"/>
            <w:r>
              <w:t>współcz</w:t>
            </w:r>
            <w:proofErr w:type="spellEnd"/>
            <w:r>
              <w:t>.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48BAE" w14:textId="77777777" w:rsidR="001B7696" w:rsidRDefault="001B7696" w:rsidP="00E51260">
            <w:pPr>
              <w:spacing w:before="120"/>
              <w:jc w:val="center"/>
            </w:pPr>
            <w:r>
              <w:sym w:font="Symbol" w:char="003E"/>
            </w:r>
            <w:r>
              <w:t xml:space="preserve"> 1,5</w:t>
            </w:r>
          </w:p>
        </w:tc>
      </w:tr>
      <w:tr w:rsidR="001B7696" w14:paraId="5EF0E61E" w14:textId="77777777" w:rsidTr="00E5126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DE65C" w14:textId="77777777" w:rsidR="001B7696" w:rsidRDefault="001B7696" w:rsidP="00E51260">
            <w:pPr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B353B" w14:textId="77777777" w:rsidR="001B7696" w:rsidRDefault="001B7696" w:rsidP="00E51260">
            <w:r>
              <w:t>Współczynnik luminancji Q w świetle rozproszonym dla oznakowania świeżego barwy:</w:t>
            </w:r>
          </w:p>
          <w:p w14:paraId="66E60228" w14:textId="77777777" w:rsidR="001B7696" w:rsidRDefault="001B7696" w:rsidP="00E51260">
            <w:r>
              <w:t>- białej na nawierzchni asfaltowej</w:t>
            </w:r>
          </w:p>
          <w:p w14:paraId="20ED9DC3" w14:textId="77777777" w:rsidR="001B7696" w:rsidRDefault="001B7696" w:rsidP="00E51260">
            <w:r>
              <w:t>- żółtej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A0486" w14:textId="77777777" w:rsidR="001B7696" w:rsidRDefault="001B7696" w:rsidP="00E51260">
            <w:pPr>
              <w:jc w:val="center"/>
            </w:pPr>
          </w:p>
          <w:p w14:paraId="1F1C7BD9" w14:textId="77777777" w:rsidR="001B7696" w:rsidRDefault="001B7696" w:rsidP="00E51260">
            <w:pPr>
              <w:jc w:val="center"/>
            </w:pPr>
          </w:p>
          <w:p w14:paraId="22C7EE47" w14:textId="77777777" w:rsidR="001B7696" w:rsidRDefault="001B7696" w:rsidP="00E51260">
            <w:pPr>
              <w:jc w:val="center"/>
            </w:pPr>
          </w:p>
          <w:p w14:paraId="6B0CE757" w14:textId="77777777" w:rsidR="001B7696" w:rsidRDefault="001B7696" w:rsidP="00E51260">
            <w:pPr>
              <w:jc w:val="center"/>
              <w:rPr>
                <w:vertAlign w:val="superscript"/>
              </w:rPr>
            </w:pPr>
            <w:r>
              <w:t>mcd m</w:t>
            </w:r>
            <w:r>
              <w:rPr>
                <w:vertAlign w:val="superscript"/>
              </w:rPr>
              <w:t>-2</w:t>
            </w:r>
            <w:r>
              <w:t xml:space="preserve"> lx</w:t>
            </w:r>
            <w:r>
              <w:rPr>
                <w:vertAlign w:val="superscript"/>
              </w:rPr>
              <w:t>-1</w:t>
            </w:r>
          </w:p>
          <w:p w14:paraId="6913F4BB" w14:textId="77777777" w:rsidR="001B7696" w:rsidRDefault="001B7696" w:rsidP="00E51260">
            <w:pPr>
              <w:jc w:val="center"/>
            </w:pPr>
            <w:r>
              <w:t>mcd m</w:t>
            </w:r>
            <w:r>
              <w:rPr>
                <w:vertAlign w:val="superscript"/>
              </w:rPr>
              <w:t>-2</w:t>
            </w:r>
            <w:r>
              <w:t xml:space="preserve"> lx</w:t>
            </w:r>
            <w:r>
              <w:rPr>
                <w:vertAlign w:val="superscript"/>
              </w:rPr>
              <w:t>-1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09B27" w14:textId="77777777" w:rsidR="001B7696" w:rsidRDefault="001B7696" w:rsidP="00E51260">
            <w:pPr>
              <w:jc w:val="center"/>
            </w:pPr>
          </w:p>
          <w:p w14:paraId="556CEC40" w14:textId="77777777" w:rsidR="001B7696" w:rsidRDefault="001B7696" w:rsidP="00E51260">
            <w:pPr>
              <w:jc w:val="center"/>
            </w:pPr>
          </w:p>
          <w:p w14:paraId="4EB03F39" w14:textId="77777777" w:rsidR="001B7696" w:rsidRDefault="001B7696" w:rsidP="00E51260">
            <w:pPr>
              <w:jc w:val="center"/>
            </w:pPr>
          </w:p>
          <w:p w14:paraId="5A763DBB" w14:textId="77777777" w:rsidR="001B7696" w:rsidRDefault="001B7696" w:rsidP="00E51260">
            <w:pPr>
              <w:jc w:val="center"/>
            </w:pPr>
            <w:r>
              <w:sym w:font="Symbol" w:char="00B3"/>
            </w:r>
            <w:r>
              <w:t xml:space="preserve"> 130</w:t>
            </w:r>
          </w:p>
          <w:p w14:paraId="052B087A" w14:textId="77777777" w:rsidR="001B7696" w:rsidRDefault="001B7696" w:rsidP="00E51260">
            <w:pPr>
              <w:jc w:val="center"/>
            </w:pPr>
            <w:r>
              <w:sym w:font="Symbol" w:char="00B3"/>
            </w:r>
            <w:r>
              <w:t xml:space="preserve"> 100</w:t>
            </w:r>
          </w:p>
        </w:tc>
      </w:tr>
      <w:tr w:rsidR="001B7696" w14:paraId="6BB26419" w14:textId="77777777" w:rsidTr="00E5126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8F6C5" w14:textId="77777777" w:rsidR="001B7696" w:rsidRDefault="001B7696" w:rsidP="00E51260">
            <w:pPr>
              <w:jc w:val="center"/>
            </w:pPr>
            <w: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FD6A9" w14:textId="77777777" w:rsidR="001B7696" w:rsidRDefault="001B7696" w:rsidP="00E51260">
            <w:r>
              <w:t xml:space="preserve">Współczynnik luminancji </w:t>
            </w:r>
            <w:r>
              <w:sym w:font="Symbol" w:char="0062"/>
            </w:r>
            <w:r>
              <w:t xml:space="preserve"> dla oznakowania świeżego barwy</w:t>
            </w:r>
          </w:p>
          <w:p w14:paraId="1A3AC4DF" w14:textId="77777777" w:rsidR="001B7696" w:rsidRDefault="001B7696" w:rsidP="00E51260">
            <w:r>
              <w:t>- białej</w:t>
            </w:r>
          </w:p>
          <w:p w14:paraId="5B9F70AF" w14:textId="77777777" w:rsidR="001B7696" w:rsidRDefault="001B7696" w:rsidP="00E51260">
            <w:r>
              <w:t>- żółtej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2C2F8" w14:textId="77777777" w:rsidR="001B7696" w:rsidRDefault="001B7696" w:rsidP="00E51260">
            <w:pPr>
              <w:jc w:val="center"/>
            </w:pPr>
          </w:p>
          <w:p w14:paraId="7AEE4BF4" w14:textId="77777777" w:rsidR="001B7696" w:rsidRDefault="001B7696" w:rsidP="00E51260">
            <w:pPr>
              <w:jc w:val="center"/>
            </w:pPr>
          </w:p>
          <w:p w14:paraId="22E4C1C2" w14:textId="77777777" w:rsidR="001B7696" w:rsidRDefault="001B7696" w:rsidP="00E51260">
            <w:pPr>
              <w:jc w:val="center"/>
            </w:pPr>
            <w:proofErr w:type="spellStart"/>
            <w:r>
              <w:t>współcz</w:t>
            </w:r>
            <w:proofErr w:type="spellEnd"/>
            <w:r>
              <w:t xml:space="preserve">. </w:t>
            </w:r>
            <w:r>
              <w:sym w:font="Symbol" w:char="0062"/>
            </w:r>
          </w:p>
          <w:p w14:paraId="3CE9FB87" w14:textId="77777777" w:rsidR="001B7696" w:rsidRDefault="001B7696" w:rsidP="00E51260">
            <w:pPr>
              <w:jc w:val="center"/>
            </w:pPr>
            <w:proofErr w:type="spellStart"/>
            <w:r>
              <w:t>współcz</w:t>
            </w:r>
            <w:proofErr w:type="spellEnd"/>
            <w:r>
              <w:t xml:space="preserve">. </w:t>
            </w:r>
            <w:r>
              <w:sym w:font="Symbol" w:char="0062"/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351E4" w14:textId="77777777" w:rsidR="001B7696" w:rsidRDefault="001B7696" w:rsidP="00E51260">
            <w:pPr>
              <w:jc w:val="center"/>
            </w:pPr>
          </w:p>
          <w:p w14:paraId="38498E97" w14:textId="77777777" w:rsidR="001B7696" w:rsidRDefault="001B7696" w:rsidP="00E51260">
            <w:pPr>
              <w:jc w:val="center"/>
            </w:pPr>
          </w:p>
          <w:p w14:paraId="78F00CF2" w14:textId="77777777" w:rsidR="001B7696" w:rsidRDefault="001B7696" w:rsidP="00E51260">
            <w:pPr>
              <w:jc w:val="center"/>
            </w:pPr>
            <w:r>
              <w:sym w:font="Symbol" w:char="00B3"/>
            </w:r>
            <w:r>
              <w:t xml:space="preserve"> 0,60</w:t>
            </w:r>
          </w:p>
          <w:p w14:paraId="2C2D94CE" w14:textId="77777777" w:rsidR="001B7696" w:rsidRDefault="001B7696" w:rsidP="00E51260">
            <w:pPr>
              <w:jc w:val="center"/>
            </w:pPr>
            <w:r>
              <w:sym w:font="Symbol" w:char="00B3"/>
            </w:r>
            <w:r>
              <w:t xml:space="preserve"> 0,40</w:t>
            </w:r>
          </w:p>
        </w:tc>
      </w:tr>
      <w:tr w:rsidR="001B7696" w14:paraId="56E12BEC" w14:textId="77777777" w:rsidTr="00E5126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6F4F0" w14:textId="77777777" w:rsidR="001B7696" w:rsidRDefault="001B7696" w:rsidP="00E51260">
            <w:pPr>
              <w:jc w:val="center"/>
            </w:pPr>
            <w: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F7DB8" w14:textId="77777777" w:rsidR="001B7696" w:rsidRDefault="001B7696" w:rsidP="00E51260">
            <w:r>
              <w:t>Powierzchniowy współczynnik odblasku dla oznakowania świeżego w stanie suchym barwy:</w:t>
            </w:r>
          </w:p>
          <w:p w14:paraId="06E6D038" w14:textId="77777777" w:rsidR="001B7696" w:rsidRDefault="001B7696" w:rsidP="00E51260">
            <w:r>
              <w:t>- białej</w:t>
            </w:r>
          </w:p>
          <w:p w14:paraId="5FCE95AF" w14:textId="77777777" w:rsidR="001B7696" w:rsidRDefault="001B7696" w:rsidP="00E51260">
            <w:r>
              <w:t>- żółtej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15443" w14:textId="77777777" w:rsidR="001B7696" w:rsidRDefault="001B7696" w:rsidP="00E51260">
            <w:pPr>
              <w:jc w:val="center"/>
            </w:pPr>
          </w:p>
          <w:p w14:paraId="321A4138" w14:textId="77777777" w:rsidR="001B7696" w:rsidRDefault="001B7696" w:rsidP="00E51260">
            <w:pPr>
              <w:jc w:val="center"/>
            </w:pPr>
          </w:p>
          <w:p w14:paraId="3444C1A2" w14:textId="77777777" w:rsidR="001B7696" w:rsidRDefault="001B7696" w:rsidP="00E51260">
            <w:pPr>
              <w:jc w:val="center"/>
            </w:pPr>
          </w:p>
          <w:p w14:paraId="4CC537D9" w14:textId="77777777" w:rsidR="001B7696" w:rsidRDefault="001B7696" w:rsidP="00E51260">
            <w:pPr>
              <w:jc w:val="center"/>
              <w:rPr>
                <w:vertAlign w:val="superscript"/>
              </w:rPr>
            </w:pPr>
            <w:r>
              <w:t>mcd m</w:t>
            </w:r>
            <w:r>
              <w:rPr>
                <w:vertAlign w:val="superscript"/>
              </w:rPr>
              <w:t>-2</w:t>
            </w:r>
            <w:r>
              <w:t xml:space="preserve"> lx</w:t>
            </w:r>
            <w:r>
              <w:rPr>
                <w:vertAlign w:val="superscript"/>
              </w:rPr>
              <w:t>-1</w:t>
            </w:r>
          </w:p>
          <w:p w14:paraId="44FC4B0F" w14:textId="77777777" w:rsidR="001B7696" w:rsidRDefault="001B7696" w:rsidP="00E51260">
            <w:pPr>
              <w:jc w:val="center"/>
            </w:pPr>
            <w:r>
              <w:t>mcd m</w:t>
            </w:r>
            <w:r>
              <w:rPr>
                <w:vertAlign w:val="superscript"/>
              </w:rPr>
              <w:t>-2</w:t>
            </w:r>
            <w:r>
              <w:t xml:space="preserve"> lx</w:t>
            </w:r>
            <w:r>
              <w:rPr>
                <w:vertAlign w:val="superscript"/>
              </w:rPr>
              <w:t>-1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86661" w14:textId="77777777" w:rsidR="001B7696" w:rsidRDefault="001B7696" w:rsidP="00E51260">
            <w:pPr>
              <w:jc w:val="center"/>
            </w:pPr>
          </w:p>
          <w:p w14:paraId="11DC483F" w14:textId="77777777" w:rsidR="001B7696" w:rsidRDefault="001B7696" w:rsidP="00E51260">
            <w:pPr>
              <w:jc w:val="center"/>
            </w:pPr>
          </w:p>
          <w:p w14:paraId="4ACC446B" w14:textId="77777777" w:rsidR="001B7696" w:rsidRDefault="001B7696" w:rsidP="00E51260">
            <w:pPr>
              <w:jc w:val="center"/>
            </w:pPr>
          </w:p>
          <w:p w14:paraId="1969AB2B" w14:textId="77777777" w:rsidR="001B7696" w:rsidRDefault="001B7696" w:rsidP="00E51260">
            <w:pPr>
              <w:jc w:val="center"/>
            </w:pPr>
            <w:r>
              <w:sym w:font="Symbol" w:char="00B3"/>
            </w:r>
            <w:r>
              <w:t xml:space="preserve"> 300</w:t>
            </w:r>
          </w:p>
          <w:p w14:paraId="05D8527D" w14:textId="77777777" w:rsidR="001B7696" w:rsidRDefault="001B7696" w:rsidP="00E51260">
            <w:pPr>
              <w:jc w:val="center"/>
            </w:pPr>
            <w:r>
              <w:sym w:font="Symbol" w:char="00B3"/>
            </w:r>
            <w:r>
              <w:t xml:space="preserve"> 200</w:t>
            </w:r>
          </w:p>
        </w:tc>
      </w:tr>
      <w:tr w:rsidR="001B7696" w14:paraId="7319D179" w14:textId="77777777" w:rsidTr="00E5126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EE483" w14:textId="77777777" w:rsidR="001B7696" w:rsidRDefault="001B7696" w:rsidP="00E51260">
            <w:pPr>
              <w:jc w:val="center"/>
            </w:pPr>
            <w: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3F05" w14:textId="77777777" w:rsidR="001B7696" w:rsidRDefault="001B7696" w:rsidP="00E51260">
            <w:r>
              <w:t>Szorstkość oznakowania</w:t>
            </w:r>
          </w:p>
          <w:p w14:paraId="498B7CF4" w14:textId="77777777" w:rsidR="001B7696" w:rsidRDefault="001B7696" w:rsidP="00E51260">
            <w:r>
              <w:t>- świeżego</w:t>
            </w:r>
          </w:p>
          <w:p w14:paraId="07458A31" w14:textId="77777777" w:rsidR="001B7696" w:rsidRDefault="001B7696" w:rsidP="00E51260">
            <w:r>
              <w:t>- używanego (po 3 mies.)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31C59" w14:textId="77777777" w:rsidR="001B7696" w:rsidRDefault="001B7696" w:rsidP="00E51260">
            <w:pPr>
              <w:jc w:val="center"/>
            </w:pPr>
            <w:r>
              <w:t>wskaźnik</w:t>
            </w:r>
          </w:p>
          <w:p w14:paraId="6AF32BB1" w14:textId="77777777" w:rsidR="001B7696" w:rsidRDefault="001B7696" w:rsidP="00E51260">
            <w:pPr>
              <w:jc w:val="center"/>
            </w:pPr>
            <w:r>
              <w:t>SRT</w:t>
            </w:r>
          </w:p>
          <w:p w14:paraId="0DE00955" w14:textId="77777777" w:rsidR="001B7696" w:rsidRDefault="001B7696" w:rsidP="00E51260">
            <w:pPr>
              <w:jc w:val="center"/>
            </w:pPr>
            <w:r>
              <w:t>SRT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2C83C" w14:textId="77777777" w:rsidR="001B7696" w:rsidRDefault="001B7696" w:rsidP="00E51260">
            <w:pPr>
              <w:jc w:val="center"/>
            </w:pPr>
          </w:p>
          <w:p w14:paraId="3F589524" w14:textId="77777777" w:rsidR="001B7696" w:rsidRDefault="001B7696" w:rsidP="00E51260">
            <w:pPr>
              <w:jc w:val="center"/>
            </w:pPr>
            <w:r>
              <w:sym w:font="Symbol" w:char="00B3"/>
            </w:r>
            <w:r>
              <w:t xml:space="preserve"> 50</w:t>
            </w:r>
          </w:p>
          <w:p w14:paraId="445E5CC5" w14:textId="77777777" w:rsidR="001B7696" w:rsidRDefault="001B7696" w:rsidP="00E51260">
            <w:pPr>
              <w:jc w:val="center"/>
            </w:pPr>
            <w:r>
              <w:sym w:font="Symbol" w:char="00B3"/>
            </w:r>
            <w:r>
              <w:t xml:space="preserve"> 45</w:t>
            </w:r>
          </w:p>
        </w:tc>
      </w:tr>
      <w:tr w:rsidR="001B7696" w14:paraId="709E69C5" w14:textId="77777777" w:rsidTr="00E5126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FBFA" w14:textId="77777777" w:rsidR="001B7696" w:rsidRDefault="001B7696" w:rsidP="00E51260">
            <w:pPr>
              <w:jc w:val="center"/>
            </w:pPr>
            <w:r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08ABF" w14:textId="77777777" w:rsidR="001B7696" w:rsidRDefault="001B7696" w:rsidP="00E51260">
            <w:r>
              <w:t>Trwałość oznakowania wykonanego:</w:t>
            </w:r>
          </w:p>
          <w:p w14:paraId="4E77B4ED" w14:textId="77777777" w:rsidR="001B7696" w:rsidRDefault="001B7696" w:rsidP="00E51260">
            <w:r>
              <w:lastRenderedPageBreak/>
              <w:t>- farbami wodorozcieńczalnymi</w:t>
            </w:r>
          </w:p>
          <w:p w14:paraId="6164C588" w14:textId="77777777" w:rsidR="001B7696" w:rsidRDefault="001B7696" w:rsidP="00E51260">
            <w:r>
              <w:t>- pozostałymi materiałami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ADFA6" w14:textId="77777777" w:rsidR="001B7696" w:rsidRDefault="001B7696" w:rsidP="00E51260">
            <w:pPr>
              <w:jc w:val="center"/>
            </w:pPr>
          </w:p>
          <w:p w14:paraId="4062DD10" w14:textId="77777777" w:rsidR="001B7696" w:rsidRDefault="001B7696" w:rsidP="00E51260">
            <w:pPr>
              <w:jc w:val="center"/>
            </w:pPr>
            <w:r>
              <w:lastRenderedPageBreak/>
              <w:t>wskaźnik</w:t>
            </w:r>
          </w:p>
          <w:p w14:paraId="2BC78F19" w14:textId="77777777" w:rsidR="001B7696" w:rsidRDefault="001B7696" w:rsidP="00E51260">
            <w:pPr>
              <w:jc w:val="center"/>
            </w:pPr>
            <w:r>
              <w:t>wskaźnik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97538" w14:textId="77777777" w:rsidR="001B7696" w:rsidRDefault="001B7696" w:rsidP="00E51260">
            <w:pPr>
              <w:jc w:val="center"/>
            </w:pPr>
          </w:p>
          <w:p w14:paraId="48A2B597" w14:textId="77777777" w:rsidR="001B7696" w:rsidRDefault="001B7696" w:rsidP="00E51260">
            <w:pPr>
              <w:jc w:val="center"/>
            </w:pPr>
            <w:r>
              <w:lastRenderedPageBreak/>
              <w:sym w:font="Symbol" w:char="00B3"/>
            </w:r>
            <w:r>
              <w:t xml:space="preserve"> 5</w:t>
            </w:r>
          </w:p>
          <w:p w14:paraId="251D504D" w14:textId="77777777" w:rsidR="001B7696" w:rsidRDefault="001B7696" w:rsidP="00E51260">
            <w:pPr>
              <w:jc w:val="center"/>
            </w:pPr>
            <w:r>
              <w:sym w:font="Symbol" w:char="00B3"/>
            </w:r>
            <w:r>
              <w:t xml:space="preserve"> 6</w:t>
            </w:r>
          </w:p>
        </w:tc>
      </w:tr>
      <w:tr w:rsidR="001B7696" w14:paraId="1EF8A6D9" w14:textId="77777777" w:rsidTr="00E5126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C9591" w14:textId="77777777" w:rsidR="001B7696" w:rsidRDefault="001B7696" w:rsidP="00E51260">
            <w:pPr>
              <w:spacing w:before="60" w:after="60"/>
              <w:jc w:val="center"/>
            </w:pPr>
            <w:r>
              <w:lastRenderedPageBreak/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29DD6" w14:textId="77777777" w:rsidR="001B7696" w:rsidRDefault="001B7696" w:rsidP="00E51260">
            <w:pPr>
              <w:spacing w:before="60" w:after="60"/>
            </w:pPr>
            <w:r>
              <w:t>Czas schnięcia materiału na nawierzchni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E037E" w14:textId="77777777" w:rsidR="001B7696" w:rsidRDefault="001B7696" w:rsidP="00E51260">
            <w:pPr>
              <w:spacing w:before="60" w:after="60"/>
              <w:jc w:val="center"/>
            </w:pPr>
            <w:r>
              <w:t>h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8D037" w14:textId="77777777" w:rsidR="001B7696" w:rsidRDefault="001B7696" w:rsidP="00E51260">
            <w:pPr>
              <w:spacing w:before="60" w:after="60"/>
              <w:jc w:val="center"/>
            </w:pPr>
            <w:r>
              <w:sym w:font="Symbol" w:char="00A3"/>
            </w:r>
            <w:r>
              <w:t xml:space="preserve"> 2</w:t>
            </w:r>
          </w:p>
        </w:tc>
      </w:tr>
      <w:tr w:rsidR="001B7696" w14:paraId="7671BACA" w14:textId="77777777" w:rsidTr="00E5126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96A4" w14:textId="77777777" w:rsidR="001B7696" w:rsidRDefault="001B7696" w:rsidP="00E51260">
            <w:pPr>
              <w:jc w:val="center"/>
            </w:pPr>
            <w: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0FA2D" w14:textId="77777777" w:rsidR="001B7696" w:rsidRDefault="001B7696" w:rsidP="00E51260">
            <w:r>
              <w:t>Grubość oznakowania nad powierzchnią nawierzchni</w:t>
            </w:r>
          </w:p>
          <w:p w14:paraId="335A8011" w14:textId="77777777" w:rsidR="001B7696" w:rsidRDefault="001B7696" w:rsidP="00E51260">
            <w:r>
              <w:t xml:space="preserve">- bez </w:t>
            </w:r>
            <w:proofErr w:type="spellStart"/>
            <w:r>
              <w:t>mikrokulek</w:t>
            </w:r>
            <w:proofErr w:type="spellEnd"/>
            <w:r>
              <w:t xml:space="preserve"> szklanych</w:t>
            </w:r>
          </w:p>
          <w:p w14:paraId="31EFDF6C" w14:textId="77777777" w:rsidR="001B7696" w:rsidRDefault="001B7696" w:rsidP="00E51260">
            <w:r>
              <w:t xml:space="preserve">- z </w:t>
            </w:r>
            <w:proofErr w:type="spellStart"/>
            <w:r>
              <w:t>mikrokulkami</w:t>
            </w:r>
            <w:proofErr w:type="spellEnd"/>
            <w:r>
              <w:t xml:space="preserve"> szklanymi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0481" w14:textId="77777777" w:rsidR="001B7696" w:rsidRDefault="001B7696" w:rsidP="00E51260">
            <w:pPr>
              <w:jc w:val="center"/>
            </w:pPr>
          </w:p>
          <w:p w14:paraId="70C8B3A2" w14:textId="77777777" w:rsidR="001B7696" w:rsidRDefault="001B7696" w:rsidP="00E51260">
            <w:pPr>
              <w:jc w:val="center"/>
            </w:pPr>
          </w:p>
          <w:p w14:paraId="5EA047D5" w14:textId="77777777" w:rsidR="001B7696" w:rsidRDefault="001B7696" w:rsidP="00E51260">
            <w:pPr>
              <w:jc w:val="center"/>
            </w:pPr>
            <w:r>
              <w:sym w:font="Symbol" w:char="006D"/>
            </w:r>
            <w:r>
              <w:t>m</w:t>
            </w:r>
          </w:p>
          <w:p w14:paraId="45F0AB7E" w14:textId="77777777" w:rsidR="001B7696" w:rsidRDefault="001B7696" w:rsidP="00E51260">
            <w:pPr>
              <w:jc w:val="center"/>
            </w:pPr>
            <w:r>
              <w:t>mm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FD6F1" w14:textId="77777777" w:rsidR="001B7696" w:rsidRDefault="001B7696" w:rsidP="00E51260">
            <w:pPr>
              <w:jc w:val="center"/>
            </w:pPr>
          </w:p>
          <w:p w14:paraId="5815B10B" w14:textId="77777777" w:rsidR="001B7696" w:rsidRDefault="001B7696" w:rsidP="00E51260">
            <w:pPr>
              <w:jc w:val="center"/>
            </w:pPr>
          </w:p>
          <w:p w14:paraId="5335D680" w14:textId="77777777" w:rsidR="001B7696" w:rsidRDefault="001B7696" w:rsidP="00E51260">
            <w:pPr>
              <w:jc w:val="center"/>
            </w:pPr>
            <w:r>
              <w:sym w:font="Symbol" w:char="00A3"/>
            </w:r>
            <w:r>
              <w:t xml:space="preserve"> 800</w:t>
            </w:r>
          </w:p>
          <w:p w14:paraId="5372CEBB" w14:textId="77777777" w:rsidR="001B7696" w:rsidRDefault="001B7696" w:rsidP="00E51260">
            <w:pPr>
              <w:jc w:val="center"/>
            </w:pPr>
            <w:r>
              <w:t>-</w:t>
            </w:r>
          </w:p>
        </w:tc>
      </w:tr>
      <w:tr w:rsidR="001B7696" w14:paraId="4EC27851" w14:textId="77777777" w:rsidTr="00E5126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7D5F1" w14:textId="77777777" w:rsidR="001B7696" w:rsidRDefault="001B7696" w:rsidP="00E51260">
            <w:pPr>
              <w:jc w:val="center"/>
            </w:pPr>
            <w: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72A16" w14:textId="77777777" w:rsidR="001B7696" w:rsidRDefault="001B7696" w:rsidP="00E51260">
            <w:r>
              <w:t>Okres stałości właściwości materiałów do znakowania przy składowaniu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655EC" w14:textId="77777777" w:rsidR="001B7696" w:rsidRDefault="001B7696" w:rsidP="00E51260">
            <w:pPr>
              <w:spacing w:before="120"/>
              <w:jc w:val="center"/>
            </w:pPr>
            <w:r>
              <w:t>miesięcy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B26F5" w14:textId="77777777" w:rsidR="001B7696" w:rsidRDefault="001B7696" w:rsidP="00E51260">
            <w:pPr>
              <w:spacing w:before="120"/>
              <w:jc w:val="center"/>
            </w:pPr>
            <w:r>
              <w:sym w:font="Symbol" w:char="00B3"/>
            </w:r>
            <w:r>
              <w:t xml:space="preserve"> 6</w:t>
            </w:r>
          </w:p>
        </w:tc>
      </w:tr>
    </w:tbl>
    <w:p w14:paraId="158EAA2C" w14:textId="77777777" w:rsidR="00017129" w:rsidRDefault="00017129" w:rsidP="00017129">
      <w:pPr>
        <w:spacing w:before="120"/>
      </w:pPr>
    </w:p>
    <w:p w14:paraId="1D231F4C" w14:textId="77777777" w:rsidR="00017129" w:rsidRDefault="00017129" w:rsidP="00017129">
      <w:pPr>
        <w:pStyle w:val="Nagwek2"/>
      </w:pPr>
      <w:r>
        <w:t>6.4. Tolerancje wymiarów oznakowania</w:t>
      </w:r>
    </w:p>
    <w:p w14:paraId="67745AC2" w14:textId="77777777" w:rsidR="00017129" w:rsidRDefault="00017129" w:rsidP="00017129">
      <w:r>
        <w:rPr>
          <w:b/>
        </w:rPr>
        <w:t xml:space="preserve">6.4.1. </w:t>
      </w:r>
      <w:r>
        <w:t>Tolerancje nowo wykonanego oznakowania</w:t>
      </w:r>
    </w:p>
    <w:p w14:paraId="75CAAE7F" w14:textId="77777777" w:rsidR="00017129" w:rsidRDefault="00017129" w:rsidP="00017129">
      <w:pPr>
        <w:spacing w:before="120"/>
      </w:pPr>
      <w:r>
        <w:tab/>
        <w:t>Tolerancje nowo wykonanego oznakowania poziomego, zgodnego z dokumentacją projektową i „Instrukcją o znakach drogowych poziomych” [3], powinny odpowiadać następującym warunkom:</w:t>
      </w:r>
    </w:p>
    <w:p w14:paraId="7B953F29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 xml:space="preserve">szerokość linii może różnić się od wymaganej o </w:t>
      </w:r>
      <w:r>
        <w:sym w:font="Symbol" w:char="00B1"/>
      </w:r>
      <w:r>
        <w:t xml:space="preserve"> </w:t>
      </w:r>
      <w:smartTag w:uri="urn:schemas-microsoft-com:office:smarttags" w:element="metricconverter">
        <w:smartTagPr>
          <w:attr w:name="ProductID" w:val="5 mm"/>
        </w:smartTagPr>
        <w:r>
          <w:t>5 mm</w:t>
        </w:r>
      </w:smartTag>
      <w:r>
        <w:t>,</w:t>
      </w:r>
    </w:p>
    <w:p w14:paraId="27A50002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 xml:space="preserve">długość linii może być mniejsza od wymaganej co najwyżej o </w:t>
      </w:r>
      <w:smartTag w:uri="urn:schemas-microsoft-com:office:smarttags" w:element="metricconverter">
        <w:smartTagPr>
          <w:attr w:name="ProductID" w:val="50 mm"/>
        </w:smartTagPr>
        <w:r>
          <w:t>50 mm</w:t>
        </w:r>
      </w:smartTag>
      <w:r>
        <w:t xml:space="preserve"> lub większa co najwyżej o </w:t>
      </w:r>
      <w:smartTag w:uri="urn:schemas-microsoft-com:office:smarttags" w:element="metricconverter">
        <w:smartTagPr>
          <w:attr w:name="ProductID" w:val="150 mm"/>
        </w:smartTagPr>
        <w:r>
          <w:t>150 mm</w:t>
        </w:r>
      </w:smartTag>
      <w:r>
        <w:t>,</w:t>
      </w:r>
    </w:p>
    <w:p w14:paraId="7FFE06CB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 xml:space="preserve">dla linii przerywanych, długość cyklu składającego się z linii i przerwy nie może odbiegać od średniej liczonej z 10 kolejnych cykli o więcej niż </w:t>
      </w:r>
      <w:r>
        <w:sym w:font="Symbol" w:char="00B1"/>
      </w:r>
      <w:r>
        <w:t xml:space="preserve"> </w:t>
      </w:r>
      <w:smartTag w:uri="urn:schemas-microsoft-com:office:smarttags" w:element="metricconverter">
        <w:smartTagPr>
          <w:attr w:name="ProductID" w:val="50 mm"/>
        </w:smartTagPr>
        <w:r>
          <w:t>50 mm</w:t>
        </w:r>
      </w:smartTag>
      <w:r>
        <w:t xml:space="preserve"> długości wymaganej,</w:t>
      </w:r>
    </w:p>
    <w:p w14:paraId="4F57912E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 xml:space="preserve">dla strzałek, liter i cyfr rozstaw punktów narożnikowych nie może mieć większej odchyłki od wymaganego wzoru niż </w:t>
      </w:r>
      <w:r>
        <w:sym w:font="Symbol" w:char="00B1"/>
      </w:r>
      <w:r>
        <w:t xml:space="preserve"> </w:t>
      </w:r>
      <w:smartTag w:uri="urn:schemas-microsoft-com:office:smarttags" w:element="metricconverter">
        <w:smartTagPr>
          <w:attr w:name="ProductID" w:val="50 mm"/>
        </w:smartTagPr>
        <w:r>
          <w:t>50 mm</w:t>
        </w:r>
      </w:smartTag>
      <w:r>
        <w:t xml:space="preserve"> dla wymiaru długości i </w:t>
      </w:r>
      <w:r>
        <w:sym w:font="Symbol" w:char="00B1"/>
      </w:r>
      <w:r>
        <w:t xml:space="preserve"> </w:t>
      </w:r>
      <w:smartTag w:uri="urn:schemas-microsoft-com:office:smarttags" w:element="metricconverter">
        <w:smartTagPr>
          <w:attr w:name="ProductID" w:val="20 mm"/>
        </w:smartTagPr>
        <w:r>
          <w:t>20 mm</w:t>
        </w:r>
      </w:smartTag>
      <w:r>
        <w:t xml:space="preserve"> dla wymiaru szerokości.</w:t>
      </w:r>
    </w:p>
    <w:p w14:paraId="6D69803A" w14:textId="77777777" w:rsidR="00017129" w:rsidRDefault="00017129" w:rsidP="00017129">
      <w:r>
        <w:tab/>
        <w:t>Przy wykonywaniu nowego oznakowania poziomego, spowodowanego zmianami organizacji ruchu, należy dokładnie usunąć zbędne stare oznakowanie.</w:t>
      </w:r>
    </w:p>
    <w:p w14:paraId="03692E34" w14:textId="77777777" w:rsidR="00017129" w:rsidRDefault="00017129" w:rsidP="00017129">
      <w:pPr>
        <w:spacing w:before="120"/>
      </w:pPr>
      <w:r>
        <w:rPr>
          <w:b/>
        </w:rPr>
        <w:t xml:space="preserve">6.4.2. </w:t>
      </w:r>
      <w:r>
        <w:t>Tolerancje przy odnawianiu istniejącego oznakowania</w:t>
      </w:r>
    </w:p>
    <w:p w14:paraId="751E418D" w14:textId="77777777" w:rsidR="00017129" w:rsidRDefault="00017129" w:rsidP="00017129">
      <w:pPr>
        <w:spacing w:before="120" w:after="120"/>
      </w:pPr>
      <w:r>
        <w:tab/>
        <w:t>Przy odnawianiu istniejącego oznakowania należy dążyć do  pokrycia pełnej powierzchni istniejących znaków, przy zachowaniu dopuszczalnych tolerancji podanych w punkcie 6.4.1.</w:t>
      </w:r>
    </w:p>
    <w:p w14:paraId="24C5B510" w14:textId="77777777" w:rsidR="00017129" w:rsidRDefault="00017129" w:rsidP="00017129">
      <w:pPr>
        <w:pStyle w:val="Nagwek1"/>
      </w:pPr>
      <w:bookmarkStart w:id="6" w:name="_Toc420816686"/>
      <w:r>
        <w:t>7. Obmiar robót</w:t>
      </w:r>
      <w:bookmarkEnd w:id="6"/>
    </w:p>
    <w:p w14:paraId="4FBFDD96" w14:textId="77777777" w:rsidR="00017129" w:rsidRDefault="00017129" w:rsidP="00017129">
      <w:pPr>
        <w:pStyle w:val="Nagwek2"/>
      </w:pPr>
      <w:r>
        <w:t>7.1. Ogólne zasady obmiaru robót</w:t>
      </w:r>
    </w:p>
    <w:p w14:paraId="0EA494DE" w14:textId="77777777" w:rsidR="00017129" w:rsidRDefault="00017129" w:rsidP="00017129">
      <w:r>
        <w:tab/>
        <w:t>Ogólne zasady obmiaru robót podano w OST D-M-00.00.00 „Wymagania ogólne” pkt 7.</w:t>
      </w:r>
    </w:p>
    <w:p w14:paraId="5AEFC62A" w14:textId="77777777" w:rsidR="00017129" w:rsidRDefault="00017129" w:rsidP="00017129">
      <w:pPr>
        <w:pStyle w:val="Nagwek2"/>
      </w:pPr>
      <w:r>
        <w:t>7.2. Jednostka obmiarowa</w:t>
      </w:r>
    </w:p>
    <w:p w14:paraId="3B9217F8" w14:textId="77777777" w:rsidR="00017129" w:rsidRDefault="00017129" w:rsidP="00017129">
      <w:pPr>
        <w:spacing w:after="120"/>
      </w:pPr>
      <w:r>
        <w:tab/>
        <w:t>Jednostką obmiarową oznakowania poziomego jest m</w:t>
      </w:r>
      <w:r>
        <w:rPr>
          <w:vertAlign w:val="superscript"/>
        </w:rPr>
        <w:t>2</w:t>
      </w:r>
      <w:r>
        <w:t xml:space="preserve"> (metr kwadratowy) powierzchni naniesionych znaków lub liczba umieszczonych punktowych elementów odblaskowych.</w:t>
      </w:r>
    </w:p>
    <w:p w14:paraId="6EAE4F58" w14:textId="77777777" w:rsidR="00017129" w:rsidRDefault="00017129" w:rsidP="00017129">
      <w:pPr>
        <w:pStyle w:val="Nagwek1"/>
      </w:pPr>
      <w:bookmarkStart w:id="7" w:name="_Toc420816687"/>
      <w:r>
        <w:t>8. odbiór robót</w:t>
      </w:r>
      <w:bookmarkEnd w:id="7"/>
    </w:p>
    <w:p w14:paraId="3026E366" w14:textId="77777777" w:rsidR="00017129" w:rsidRDefault="00017129" w:rsidP="00017129">
      <w:pPr>
        <w:pStyle w:val="Nagwek2"/>
      </w:pPr>
      <w:r>
        <w:t>8.1. Ogólne zasady odbioru robót</w:t>
      </w:r>
    </w:p>
    <w:p w14:paraId="5EEE806B" w14:textId="77777777" w:rsidR="00017129" w:rsidRDefault="00017129" w:rsidP="00017129">
      <w:r>
        <w:tab/>
        <w:t>Ogólne zasady odbioru robót podano w OST D-M-00.00.00 „Wymagania ogólne” pkt 8.</w:t>
      </w:r>
    </w:p>
    <w:p w14:paraId="7EC163D5" w14:textId="77777777" w:rsidR="00017129" w:rsidRDefault="00017129" w:rsidP="00017129">
      <w:r>
        <w:tab/>
        <w:t>Roboty uznaje się za wykonane zgodnie z dokumentacją projektową, SST i wymaganiami Inżyniera, jeżeli wszystkie pomiary i badania, z zachowaniem tolerancji wg pkt 6, dały wyniki pozytywne.</w:t>
      </w:r>
    </w:p>
    <w:p w14:paraId="5C1FCFD9" w14:textId="77777777" w:rsidR="00017129" w:rsidRDefault="00017129" w:rsidP="00017129">
      <w:r>
        <w:tab/>
      </w:r>
    </w:p>
    <w:p w14:paraId="4B75A035" w14:textId="77777777" w:rsidR="00017129" w:rsidRDefault="00017129" w:rsidP="00017129">
      <w:pPr>
        <w:pStyle w:val="Nagwek2"/>
      </w:pPr>
      <w:r>
        <w:t>8.2. Odbiór robót zanikających i ulegających zakryciu</w:t>
      </w:r>
    </w:p>
    <w:p w14:paraId="7A8FEC10" w14:textId="77777777" w:rsidR="00017129" w:rsidRDefault="00017129" w:rsidP="00017129">
      <w:r>
        <w:tab/>
        <w:t>Odbiór robót zanikających i ulegających zakryciu, w zależności od przyjętego sposobu wykonania robót, może być dokonany po:</w:t>
      </w:r>
    </w:p>
    <w:p w14:paraId="7E6027B5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oczyszczeniu powierzchni nawierzchni,</w:t>
      </w:r>
    </w:p>
    <w:p w14:paraId="49E03B5F" w14:textId="77777777" w:rsidR="00017129" w:rsidRDefault="00017129" w:rsidP="00017129">
      <w:pPr>
        <w:numPr>
          <w:ilvl w:val="0"/>
          <w:numId w:val="1"/>
        </w:numPr>
        <w:textAlignment w:val="auto"/>
      </w:pPr>
      <w:proofErr w:type="spellStart"/>
      <w:r>
        <w:t>przedznakowaniu</w:t>
      </w:r>
      <w:proofErr w:type="spellEnd"/>
      <w:r>
        <w:t>,</w:t>
      </w:r>
    </w:p>
    <w:p w14:paraId="3A5285A7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usunięciu istniejącego oznakowania poziomego,</w:t>
      </w:r>
    </w:p>
    <w:p w14:paraId="0ADE1EDA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wykonaniu podkładu (</w:t>
      </w:r>
      <w:proofErr w:type="spellStart"/>
      <w:r>
        <w:t>primera</w:t>
      </w:r>
      <w:proofErr w:type="spellEnd"/>
      <w:r>
        <w:t>) na nawierzchni betonowej.</w:t>
      </w:r>
    </w:p>
    <w:p w14:paraId="06525A1B" w14:textId="77777777" w:rsidR="00017129" w:rsidRDefault="00017129" w:rsidP="00017129">
      <w:pPr>
        <w:pStyle w:val="Nagwek2"/>
      </w:pPr>
      <w:r>
        <w:t>8.3. Odbiór ostateczny</w:t>
      </w:r>
    </w:p>
    <w:p w14:paraId="2057672C" w14:textId="77777777" w:rsidR="00017129" w:rsidRDefault="00017129" w:rsidP="00017129">
      <w:r>
        <w:tab/>
        <w:t>Odbioru ostatecznego należy dokonać po całkowitym zakończeniu robót, na podstawie wyników pomiarów i badań jakościowych określonych w punktach od 2 do 6.</w:t>
      </w:r>
    </w:p>
    <w:p w14:paraId="541DC0A6" w14:textId="77777777" w:rsidR="00017129" w:rsidRDefault="00017129" w:rsidP="00017129">
      <w:pPr>
        <w:pStyle w:val="Nagwek2"/>
      </w:pPr>
      <w:r>
        <w:lastRenderedPageBreak/>
        <w:t>8.4. Odbiór pogwarancyjny</w:t>
      </w:r>
    </w:p>
    <w:p w14:paraId="14748CF4" w14:textId="77777777" w:rsidR="00017129" w:rsidRDefault="00017129" w:rsidP="00017129">
      <w:r>
        <w:tab/>
        <w:t>Odbioru pogwarancyjnego należy dokonać po upływie okresu gwarancyjnego, ustalonego w SST. Sprawdzeniu podlegają cechy oznakowania określone w POD-97 [4].</w:t>
      </w:r>
    </w:p>
    <w:p w14:paraId="56502EA7" w14:textId="77777777" w:rsidR="00017129" w:rsidRDefault="00017129" w:rsidP="00017129">
      <w:r>
        <w:tab/>
        <w:t>Zaleca się stosowanie następujących minimalnych okresów gwarancyjnych:</w:t>
      </w:r>
    </w:p>
    <w:p w14:paraId="5D1A977B" w14:textId="77777777" w:rsidR="00017129" w:rsidRDefault="00017129" w:rsidP="00017129">
      <w:r>
        <w:t>a) dla oznakowania cienkowarstwowego:</w:t>
      </w:r>
    </w:p>
    <w:p w14:paraId="60322937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na odcinkach zamiejskich, z wyłączeniem przejść dla pieszych: co najmniej 12 miesięcy,</w:t>
      </w:r>
    </w:p>
    <w:p w14:paraId="7F641385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na odcinkach przejść przez miejscowości: co najmniej 6 miesięcy,</w:t>
      </w:r>
    </w:p>
    <w:p w14:paraId="3D4DCEC7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na przejściach dla pieszych na odcinkach zamiejskich: co najmniej 6 miesięcy,</w:t>
      </w:r>
    </w:p>
    <w:p w14:paraId="6D026CB3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na przejściach dla pieszych w miejscowościach: co najmniej 3 miesiące,</w:t>
      </w:r>
    </w:p>
    <w:p w14:paraId="11110904" w14:textId="77777777" w:rsidR="00017129" w:rsidRDefault="00017129" w:rsidP="00017129">
      <w:r>
        <w:tab/>
        <w:t xml:space="preserve">W niektórych przypadkach można rozważać ograniczenia okresów gwarancyjnych dla </w:t>
      </w:r>
      <w:proofErr w:type="spellStart"/>
      <w:r>
        <w:t>oznakowań</w:t>
      </w:r>
      <w:proofErr w:type="spellEnd"/>
      <w:r>
        <w:t>:</w:t>
      </w:r>
    </w:p>
    <w:p w14:paraId="559386D7" w14:textId="77777777" w:rsidR="00017129" w:rsidRDefault="00017129" w:rsidP="00017129">
      <w:r>
        <w:t>a) cienkowarstwowych</w:t>
      </w:r>
    </w:p>
    <w:p w14:paraId="17A8BC47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 xml:space="preserve">dla </w:t>
      </w:r>
      <w:proofErr w:type="spellStart"/>
      <w:r>
        <w:t>wymalowań</w:t>
      </w:r>
      <w:proofErr w:type="spellEnd"/>
      <w:r>
        <w:t xml:space="preserve"> farbami problematyczne jest udzielenie gwarancji na wykonane oznakowanie w przypadku nawierzchni, których czas użytkowania jest krótszy niż jeden rok oraz dla </w:t>
      </w:r>
      <w:proofErr w:type="spellStart"/>
      <w:r>
        <w:t>oznakowań</w:t>
      </w:r>
      <w:proofErr w:type="spellEnd"/>
      <w:r>
        <w:t xml:space="preserve"> wykonanych w okresie od 1 listopada do 31 marca,</w:t>
      </w:r>
    </w:p>
    <w:p w14:paraId="3F4B9EEC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na nawierzchniach bitumicznych o warstwie ścieralnej spękanej, kruszącej się, z luźnymi grysami, pożądane jest skrócić okres gwarancyjny dla linii segregacyjnych do 6 miesięcy, przejść dla pieszych i drobnych elementów do 3 miesięcy,</w:t>
      </w:r>
    </w:p>
    <w:p w14:paraId="531CA73D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na nawierzchniach kostkowych o równej powierzchni w dobrym stanie, pożądane jest skrócić okres gwarancyjny dla linii segregacyjnych do 3  miesięcy, przejść dla pieszych i drobnych elementów do 1 miesiąca,</w:t>
      </w:r>
    </w:p>
    <w:p w14:paraId="0D48B165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na nawierzchniach drogowych o silnie zdeformowanej, spękanej, łuszczącej się powierzchni, na złączach podłużnych jeśli są niejednorodne, tj. ze szczelinami, garbami podłużnymi i poprzecznymi, na nawierzchniach smołowych (także z  powierzchniowym utrwaleniem smołą), na nawierzchniach kostkowych w złym stanie (nierówna powierzchnia, kostka uszkodzona, braki kostki, luźne zanieczyszczenia w szczelinach między kostkami niemożliwe do usunięcia za pomocą szczotki i zamiatarki) - w zasadzie gwarancji nie powinno się udzielać,</w:t>
      </w:r>
    </w:p>
    <w:p w14:paraId="38CA2830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w przypadku stosowania piasku  lub piasku z solą do zimowego utrzymania dróg, okres gwarancyjny należałoby skrócić do maksimum 9 miesięcy przy wymalowaniu wiosennym i do 6 miesięcy przy wymalowaniu jesiennym;</w:t>
      </w:r>
    </w:p>
    <w:p w14:paraId="3E7491A1" w14:textId="77777777" w:rsidR="00017129" w:rsidRDefault="00017129" w:rsidP="00017129">
      <w:pPr>
        <w:pStyle w:val="Nagwek1"/>
      </w:pPr>
      <w:bookmarkStart w:id="8" w:name="_Toc420816688"/>
      <w:r>
        <w:t>9. podstawa płatności</w:t>
      </w:r>
      <w:bookmarkEnd w:id="8"/>
    </w:p>
    <w:p w14:paraId="19039F50" w14:textId="77777777" w:rsidR="00017129" w:rsidRDefault="00017129" w:rsidP="00017129">
      <w:pPr>
        <w:pStyle w:val="Nagwek2"/>
      </w:pPr>
      <w:r>
        <w:t>9.1. Ogólne ustalenia dotyczące podstawy płatności</w:t>
      </w:r>
    </w:p>
    <w:p w14:paraId="3B038107" w14:textId="77777777" w:rsidR="00017129" w:rsidRDefault="00017129" w:rsidP="00017129">
      <w:r>
        <w:tab/>
        <w:t>Ogólne ustalenia dotyczące podstawy płatności podano w OST D-M-00.00.00 „Wymagania ogólne” pkt 9.</w:t>
      </w:r>
    </w:p>
    <w:p w14:paraId="1079AF87" w14:textId="77777777" w:rsidR="00017129" w:rsidRDefault="00017129" w:rsidP="00017129">
      <w:pPr>
        <w:pStyle w:val="Nagwek2"/>
      </w:pPr>
      <w:r>
        <w:t>9.2. Cena jednostki obmiarowej</w:t>
      </w:r>
    </w:p>
    <w:p w14:paraId="274F9A8C" w14:textId="77777777" w:rsidR="00017129" w:rsidRDefault="00017129" w:rsidP="00017129">
      <w:r>
        <w:tab/>
        <w:t xml:space="preserve">Cena </w:t>
      </w:r>
      <w:smartTag w:uri="urn:schemas-microsoft-com:office:smarttags" w:element="metricconverter">
        <w:smartTagPr>
          <w:attr w:name="ProductID" w:val="1 m2"/>
        </w:smartTagPr>
        <w:r>
          <w:t>1 m</w:t>
        </w:r>
        <w:r>
          <w:rPr>
            <w:vertAlign w:val="superscript"/>
          </w:rPr>
          <w:t>2</w:t>
        </w:r>
      </w:smartTag>
      <w:r>
        <w:t xml:space="preserve"> wykonania robót obejmuje:</w:t>
      </w:r>
    </w:p>
    <w:p w14:paraId="33E8B1CB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prace pomiarowe, roboty przygotowawcze i oznakowanie robót,</w:t>
      </w:r>
    </w:p>
    <w:p w14:paraId="00F996C9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przygotowanie i dostarczenie materiałów,</w:t>
      </w:r>
    </w:p>
    <w:p w14:paraId="021A4EED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oczyszczenie podłoża (nawierzchni),</w:t>
      </w:r>
    </w:p>
    <w:p w14:paraId="46528C87" w14:textId="77777777" w:rsidR="00017129" w:rsidRDefault="00017129" w:rsidP="00017129">
      <w:pPr>
        <w:numPr>
          <w:ilvl w:val="0"/>
          <w:numId w:val="1"/>
        </w:numPr>
        <w:textAlignment w:val="auto"/>
      </w:pPr>
      <w:proofErr w:type="spellStart"/>
      <w:r>
        <w:t>przedznakowanie</w:t>
      </w:r>
      <w:proofErr w:type="spellEnd"/>
      <w:r>
        <w:t>,</w:t>
      </w:r>
    </w:p>
    <w:p w14:paraId="67E5DF62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naniesienie powłoki znaków na nawierzchnię drogi o kształtach i wymiarach zgodnych z dokumentacją projektową i „Instrukcją o znakach drogowych poziomych”,</w:t>
      </w:r>
    </w:p>
    <w:p w14:paraId="78B79701" w14:textId="77777777" w:rsidR="00017129" w:rsidRDefault="00017129" w:rsidP="00017129">
      <w:pPr>
        <w:numPr>
          <w:ilvl w:val="0"/>
          <w:numId w:val="1"/>
        </w:numPr>
        <w:textAlignment w:val="auto"/>
      </w:pPr>
      <w:r>
        <w:t>ochrona znaków przed zniszczeniem przez pojazdy w czasie prowadzenia robót,</w:t>
      </w:r>
    </w:p>
    <w:p w14:paraId="3628EA7D" w14:textId="77777777" w:rsidR="00017129" w:rsidRDefault="00017129" w:rsidP="00017129">
      <w:pPr>
        <w:numPr>
          <w:ilvl w:val="0"/>
          <w:numId w:val="1"/>
        </w:numPr>
        <w:spacing w:after="120"/>
        <w:ind w:left="284" w:hanging="284"/>
        <w:textAlignment w:val="auto"/>
      </w:pPr>
      <w:r>
        <w:t>przeprowadzenie pomiarów i badań laboratoryjnych wymaganych w specyfikacji technicznej.</w:t>
      </w:r>
    </w:p>
    <w:p w14:paraId="5AB89141" w14:textId="77777777" w:rsidR="00017129" w:rsidRDefault="00017129" w:rsidP="00017129">
      <w:pPr>
        <w:pStyle w:val="Nagwek1"/>
      </w:pPr>
      <w:bookmarkStart w:id="9" w:name="_Toc420816689"/>
      <w:r>
        <w:t>10. przepisy związane</w:t>
      </w:r>
      <w:bookmarkEnd w:id="9"/>
    </w:p>
    <w:p w14:paraId="75A94E44" w14:textId="77777777" w:rsidR="00017129" w:rsidRDefault="00017129" w:rsidP="00017129">
      <w:pPr>
        <w:pStyle w:val="Nagwek2"/>
      </w:pPr>
      <w:r>
        <w:t>10.1. Normy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42"/>
        <w:gridCol w:w="5172"/>
      </w:tblGrid>
      <w:tr w:rsidR="00017129" w14:paraId="45275C93" w14:textId="77777777" w:rsidTr="00E51260">
        <w:tc>
          <w:tcPr>
            <w:tcW w:w="496" w:type="dxa"/>
          </w:tcPr>
          <w:p w14:paraId="7B2C76DE" w14:textId="77777777" w:rsidR="00017129" w:rsidRDefault="00017129" w:rsidP="00E51260">
            <w:pPr>
              <w:jc w:val="center"/>
            </w:pPr>
            <w:r>
              <w:t>1.</w:t>
            </w:r>
          </w:p>
        </w:tc>
        <w:tc>
          <w:tcPr>
            <w:tcW w:w="1842" w:type="dxa"/>
          </w:tcPr>
          <w:p w14:paraId="73D91FB3" w14:textId="77777777" w:rsidR="00017129" w:rsidRDefault="00017129" w:rsidP="00E51260">
            <w:r>
              <w:t>PN-C-81400</w:t>
            </w:r>
          </w:p>
        </w:tc>
        <w:tc>
          <w:tcPr>
            <w:tcW w:w="5172" w:type="dxa"/>
          </w:tcPr>
          <w:p w14:paraId="6BA21C5F" w14:textId="77777777" w:rsidR="00017129" w:rsidRDefault="00017129" w:rsidP="00E51260">
            <w:r>
              <w:t>Wyroby lakierowe. Pakowanie, przechowywanie i transport</w:t>
            </w:r>
          </w:p>
        </w:tc>
      </w:tr>
      <w:tr w:rsidR="00017129" w14:paraId="5C867386" w14:textId="77777777" w:rsidTr="00E51260">
        <w:tc>
          <w:tcPr>
            <w:tcW w:w="496" w:type="dxa"/>
          </w:tcPr>
          <w:p w14:paraId="12175B2E" w14:textId="77777777" w:rsidR="00017129" w:rsidRDefault="00017129" w:rsidP="00E51260">
            <w:pPr>
              <w:jc w:val="center"/>
            </w:pPr>
            <w:r>
              <w:t>2.</w:t>
            </w:r>
          </w:p>
        </w:tc>
        <w:tc>
          <w:tcPr>
            <w:tcW w:w="1842" w:type="dxa"/>
          </w:tcPr>
          <w:p w14:paraId="2511BD25" w14:textId="77777777" w:rsidR="00017129" w:rsidRDefault="00017129" w:rsidP="00E51260">
            <w:r>
              <w:t>PN-O-79252</w:t>
            </w:r>
          </w:p>
        </w:tc>
        <w:tc>
          <w:tcPr>
            <w:tcW w:w="5172" w:type="dxa"/>
          </w:tcPr>
          <w:p w14:paraId="3491E838" w14:textId="77777777" w:rsidR="00017129" w:rsidRDefault="00017129" w:rsidP="00E51260">
            <w:r>
              <w:t>Opakowania transportowe z zawartością. Znaki i znakowanie. Wymagania podstawowe.</w:t>
            </w:r>
          </w:p>
        </w:tc>
      </w:tr>
    </w:tbl>
    <w:p w14:paraId="2D0ACAF3" w14:textId="77777777" w:rsidR="00017129" w:rsidRDefault="00017129" w:rsidP="00017129">
      <w:pPr>
        <w:pStyle w:val="Nagwek2"/>
      </w:pPr>
      <w:r>
        <w:t>10.2. Inne dokumenty</w:t>
      </w:r>
    </w:p>
    <w:p w14:paraId="12189C01" w14:textId="77777777" w:rsidR="00017129" w:rsidRDefault="00017129" w:rsidP="00017129">
      <w:pPr>
        <w:numPr>
          <w:ilvl w:val="0"/>
          <w:numId w:val="5"/>
        </w:numPr>
        <w:textAlignment w:val="auto"/>
      </w:pPr>
      <w:r>
        <w:t>Instrukcja o znakach drogowych poziomych. Załącznik do zarządzenia Ministra Transportu i Gospodarki Morskiej z dnia 3 marca 1994 r. (M.P. Nr 16, poz. 120)</w:t>
      </w:r>
    </w:p>
    <w:p w14:paraId="55259007" w14:textId="77777777" w:rsidR="00017129" w:rsidRDefault="00017129" w:rsidP="00017129">
      <w:pPr>
        <w:numPr>
          <w:ilvl w:val="0"/>
          <w:numId w:val="5"/>
        </w:numPr>
        <w:textAlignment w:val="auto"/>
      </w:pPr>
      <w:r>
        <w:t xml:space="preserve">Warunki techniczne. Poziome znakowanie dróg. POD-97. Seria „I” - Informacje, Instrukcje. Zeszyt nr 55. </w:t>
      </w:r>
      <w:proofErr w:type="spellStart"/>
      <w:r>
        <w:t>IBDiM</w:t>
      </w:r>
      <w:proofErr w:type="spellEnd"/>
      <w:r>
        <w:t>, Warszawa, 1997.</w:t>
      </w:r>
    </w:p>
    <w:p w14:paraId="1D134931" w14:textId="77777777" w:rsidR="00AE4884" w:rsidRDefault="00AE4884"/>
    <w:sectPr w:rsidR="00AE4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7CC029A"/>
    <w:lvl w:ilvl="0">
      <w:numFmt w:val="decimal"/>
      <w:lvlText w:val="*"/>
      <w:lvlJc w:val="left"/>
    </w:lvl>
  </w:abstractNum>
  <w:abstractNum w:abstractNumId="1" w15:restartNumberingAfterBreak="0">
    <w:nsid w:val="0AC717CF"/>
    <w:multiLevelType w:val="singleLevel"/>
    <w:tmpl w:val="20B62A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BD76424"/>
    <w:multiLevelType w:val="singleLevel"/>
    <w:tmpl w:val="EE4EC234"/>
    <w:lvl w:ilvl="0">
      <w:start w:val="3"/>
      <w:numFmt w:val="decimal"/>
      <w:lvlText w:val="%1."/>
      <w:legacy w:legacy="1" w:legacySpace="113" w:legacyIndent="397"/>
      <w:lvlJc w:val="right"/>
      <w:pPr>
        <w:ind w:left="397" w:hanging="397"/>
      </w:pPr>
    </w:lvl>
  </w:abstractNum>
  <w:abstractNum w:abstractNumId="3" w15:restartNumberingAfterBreak="0">
    <w:nsid w:val="73443FF8"/>
    <w:multiLevelType w:val="singleLevel"/>
    <w:tmpl w:val="20B62A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7FD272D7"/>
    <w:multiLevelType w:val="singleLevel"/>
    <w:tmpl w:val="DC681340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 w16cid:durableId="175003287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13770229">
    <w:abstractNumId w:val="1"/>
    <w:lvlOverride w:ilvl="0">
      <w:startOverride w:val="1"/>
    </w:lvlOverride>
  </w:num>
  <w:num w:numId="3" w16cid:durableId="1582329703">
    <w:abstractNumId w:val="3"/>
    <w:lvlOverride w:ilvl="0">
      <w:startOverride w:val="1"/>
    </w:lvlOverride>
  </w:num>
  <w:num w:numId="4" w16cid:durableId="2024017544">
    <w:abstractNumId w:val="4"/>
    <w:lvlOverride w:ilvl="0">
      <w:startOverride w:val="2"/>
    </w:lvlOverride>
  </w:num>
  <w:num w:numId="5" w16cid:durableId="1798988174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29"/>
    <w:rsid w:val="00017129"/>
    <w:rsid w:val="001B7696"/>
    <w:rsid w:val="0038614F"/>
    <w:rsid w:val="006D5662"/>
    <w:rsid w:val="007060F5"/>
    <w:rsid w:val="007C2A64"/>
    <w:rsid w:val="008663E6"/>
    <w:rsid w:val="00AD0201"/>
    <w:rsid w:val="00AE4884"/>
    <w:rsid w:val="00B13F92"/>
    <w:rsid w:val="00B8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D84C66"/>
  <w15:docId w15:val="{5A7AE8C0-0EF5-407A-B874-3AE68F6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"/>
    <w:qFormat/>
    <w:rsid w:val="0001712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7129"/>
    <w:pPr>
      <w:keepNext/>
      <w:keepLines/>
      <w:suppressAutoHyphens/>
      <w:spacing w:before="120" w:after="120"/>
      <w:outlineLvl w:val="0"/>
    </w:pPr>
    <w:rPr>
      <w:b/>
      <w:caps/>
      <w:kern w:val="28"/>
    </w:rPr>
  </w:style>
  <w:style w:type="paragraph" w:styleId="Nagwek2">
    <w:name w:val="heading 2"/>
    <w:basedOn w:val="Normalny"/>
    <w:next w:val="Normalny"/>
    <w:link w:val="Nagwek2Znak"/>
    <w:qFormat/>
    <w:rsid w:val="00017129"/>
    <w:pPr>
      <w:keepNext/>
      <w:spacing w:before="120" w:after="120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129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1712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tandardowytekst">
    <w:name w:val="Standardowy.tekst"/>
    <w:rsid w:val="0001712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3557</Words>
  <Characters>21343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Maria Iksińska</cp:lastModifiedBy>
  <cp:revision>2</cp:revision>
  <cp:lastPrinted>2015-05-19T06:47:00Z</cp:lastPrinted>
  <dcterms:created xsi:type="dcterms:W3CDTF">2025-05-13T09:06:00Z</dcterms:created>
  <dcterms:modified xsi:type="dcterms:W3CDTF">2025-05-13T09:06:00Z</dcterms:modified>
</cp:coreProperties>
</file>