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1C1D35C4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84D8E">
        <w:rPr>
          <w:rFonts w:ascii="Arial" w:hAnsi="Arial" w:cs="Arial"/>
          <w:b/>
          <w:bCs/>
          <w:sz w:val="24"/>
          <w:szCs w:val="24"/>
        </w:rPr>
        <w:t>15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684D8E">
        <w:rPr>
          <w:rFonts w:ascii="Arial" w:hAnsi="Arial" w:cs="Arial"/>
          <w:b/>
          <w:bCs/>
          <w:sz w:val="24"/>
          <w:szCs w:val="24"/>
        </w:rPr>
        <w:t>VI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012F9FC8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684D8E" w:rsidRPr="00684D8E">
        <w:rPr>
          <w:rFonts w:ascii="Arial" w:hAnsi="Arial" w:cs="Arial"/>
          <w:b/>
          <w:bCs/>
          <w:sz w:val="24"/>
          <w:szCs w:val="24"/>
        </w:rPr>
        <w:t xml:space="preserve">Budowa i przebudowa oświetlenia na terenie Dzielnicy VIII – ul. Na Leszczu w Krakowie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2023-07-03T08:07:00Z</dcterms:modified>
</cp:coreProperties>
</file>