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73" w:rsidRPr="007F494E" w:rsidRDefault="00AC5218" w:rsidP="00BF07B9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F494E">
        <w:rPr>
          <w:rFonts w:asciiTheme="minorHAnsi" w:hAnsiTheme="minorHAnsi" w:cstheme="minorHAnsi"/>
          <w:b/>
          <w:sz w:val="24"/>
          <w:szCs w:val="24"/>
          <w:lang w:val="pl-PL"/>
        </w:rPr>
        <w:t>Załączni</w:t>
      </w:r>
      <w:r w:rsidR="00292B0E" w:rsidRPr="007F494E">
        <w:rPr>
          <w:rFonts w:asciiTheme="minorHAnsi" w:hAnsiTheme="minorHAnsi" w:cstheme="minorHAnsi"/>
          <w:b/>
          <w:sz w:val="24"/>
          <w:szCs w:val="24"/>
          <w:lang w:val="pl-PL"/>
        </w:rPr>
        <w:t>k</w:t>
      </w:r>
      <w:r w:rsidR="00E44873" w:rsidRPr="007F494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1D3708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3E3A4F" w:rsidRPr="007F494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 S</w:t>
      </w:r>
      <w:r w:rsidR="00E44873" w:rsidRPr="007F494E">
        <w:rPr>
          <w:rFonts w:asciiTheme="minorHAnsi" w:hAnsiTheme="minorHAnsi" w:cstheme="minorHAnsi"/>
          <w:b/>
          <w:sz w:val="24"/>
          <w:szCs w:val="24"/>
          <w:lang w:val="pl-PL"/>
        </w:rPr>
        <w:t>WZ</w:t>
      </w:r>
    </w:p>
    <w:p w:rsidR="00E44873" w:rsidRPr="007F494E" w:rsidRDefault="00E44873" w:rsidP="00296E4B">
      <w:pPr>
        <w:pStyle w:val="Nagwek3"/>
        <w:spacing w:before="0" w:after="120" w:line="276" w:lineRule="auto"/>
        <w:rPr>
          <w:rFonts w:asciiTheme="minorHAnsi" w:hAnsiTheme="minorHAnsi" w:cstheme="minorHAnsi"/>
          <w:bCs w:val="0"/>
          <w:sz w:val="24"/>
          <w:szCs w:val="24"/>
        </w:rPr>
      </w:pPr>
    </w:p>
    <w:p w:rsidR="002C1EDD" w:rsidRPr="007F494E" w:rsidRDefault="002C1EDD" w:rsidP="002C1EDD">
      <w:pPr>
        <w:rPr>
          <w:rFonts w:asciiTheme="minorHAnsi" w:hAnsiTheme="minorHAnsi" w:cstheme="minorHAnsi"/>
          <w:lang w:val="pl-PL"/>
        </w:rPr>
      </w:pPr>
    </w:p>
    <w:p w:rsidR="00E44873" w:rsidRPr="007F494E" w:rsidRDefault="001D3708" w:rsidP="0018323F">
      <w:pPr>
        <w:pStyle w:val="Nagwek3"/>
        <w:spacing w:before="0" w:after="120" w:line="276" w:lineRule="auto"/>
        <w:jc w:val="center"/>
        <w:rPr>
          <w:rFonts w:asciiTheme="minorHAnsi" w:hAnsiTheme="minorHAnsi" w:cstheme="minorHAnsi"/>
          <w:w w:val="90"/>
          <w:sz w:val="24"/>
          <w:szCs w:val="24"/>
        </w:rPr>
      </w:pPr>
      <w:r w:rsidRPr="001D3708">
        <w:rPr>
          <w:rFonts w:asciiTheme="minorHAnsi" w:hAnsiTheme="minorHAnsi" w:cstheme="minorHAnsi"/>
          <w:w w:val="90"/>
          <w:sz w:val="24"/>
          <w:szCs w:val="24"/>
        </w:rPr>
        <w:t>ISTOTNE POSTANOWIENIA UMOWY</w:t>
      </w:r>
    </w:p>
    <w:p w:rsidR="001D3708" w:rsidRPr="001D3708" w:rsidRDefault="001D3708" w:rsidP="001D3708">
      <w:pPr>
        <w:spacing w:line="276" w:lineRule="auto"/>
        <w:jc w:val="center"/>
        <w:rPr>
          <w:rFonts w:asciiTheme="minorHAnsi" w:hAnsiTheme="minorHAnsi" w:cstheme="minorHAnsi"/>
          <w:b/>
          <w:szCs w:val="24"/>
          <w:lang w:val="pl-PL"/>
        </w:rPr>
      </w:pPr>
      <w:r w:rsidRPr="001D3708">
        <w:rPr>
          <w:rFonts w:asciiTheme="minorHAnsi" w:hAnsiTheme="minorHAnsi" w:cstheme="minorHAnsi"/>
          <w:b/>
          <w:szCs w:val="24"/>
          <w:lang w:val="pl-PL"/>
        </w:rPr>
        <w:t>KTÓRE ZOSTANĄ WPROWADZONE DO TREŚCI ZAWIERANEJ UMOWY</w:t>
      </w:r>
    </w:p>
    <w:p w:rsidR="00296E4B" w:rsidRPr="007F494E" w:rsidRDefault="001D3708" w:rsidP="001D3708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D3708">
        <w:rPr>
          <w:rFonts w:asciiTheme="minorHAnsi" w:hAnsiTheme="minorHAnsi" w:cstheme="minorHAnsi"/>
          <w:b/>
          <w:szCs w:val="24"/>
          <w:lang w:val="pl-PL"/>
        </w:rPr>
        <w:t>W SPRAWIE ZAMÓWIENIA</w:t>
      </w:r>
    </w:p>
    <w:p w:rsidR="00280A47" w:rsidRPr="007F494E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:rsidR="000336E9" w:rsidRDefault="000336E9" w:rsidP="000D095A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36E9">
        <w:rPr>
          <w:rFonts w:asciiTheme="minorHAnsi" w:hAnsiTheme="minorHAnsi" w:cstheme="minorHAnsi"/>
          <w:sz w:val="24"/>
          <w:szCs w:val="24"/>
          <w:lang w:val="pl-PL"/>
        </w:rPr>
        <w:t>Umowa w sprawie przedmiotowego zamówienia publicznego powinna w swojej treś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ci </w:t>
      </w:r>
      <w:r w:rsidRPr="000336E9">
        <w:rPr>
          <w:rFonts w:asciiTheme="minorHAnsi" w:hAnsiTheme="minorHAnsi" w:cstheme="minorHAnsi"/>
          <w:sz w:val="24"/>
          <w:szCs w:val="24"/>
          <w:lang w:val="pl-PL"/>
        </w:rPr>
        <w:t>zawierać następujące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336E9">
        <w:rPr>
          <w:rFonts w:asciiTheme="minorHAnsi" w:hAnsiTheme="minorHAnsi" w:cstheme="minorHAnsi"/>
          <w:sz w:val="24"/>
          <w:szCs w:val="24"/>
          <w:lang w:val="pl-PL"/>
        </w:rPr>
        <w:t>sfomułowania:</w:t>
      </w:r>
    </w:p>
    <w:p w:rsidR="000D095A" w:rsidRPr="007F494E" w:rsidRDefault="000D095A" w:rsidP="000D095A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D095A" w:rsidRDefault="000D095A" w:rsidP="000D095A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D095A">
        <w:rPr>
          <w:rFonts w:asciiTheme="minorHAnsi" w:hAnsiTheme="minorHAnsi" w:cstheme="minorHAnsi"/>
          <w:sz w:val="24"/>
          <w:szCs w:val="24"/>
          <w:lang w:val="pl-PL"/>
        </w:rPr>
        <w:t>W treści umowy Zamawiający i Wykonawca zwanymi są dalej również: Stroną lub Stronami.</w:t>
      </w:r>
    </w:p>
    <w:p w:rsidR="001D3708" w:rsidRDefault="001D3708" w:rsidP="00DA0AA4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B3ADA">
        <w:rPr>
          <w:rFonts w:asciiTheme="minorHAnsi" w:hAnsiTheme="minorHAnsi" w:cstheme="minorHAnsi"/>
          <w:b/>
          <w:sz w:val="24"/>
          <w:szCs w:val="24"/>
          <w:lang w:val="pl-PL"/>
        </w:rPr>
        <w:t>Postanowienia ogólne.</w:t>
      </w:r>
    </w:p>
    <w:p w:rsidR="00CB3ADA" w:rsidRDefault="000336E9" w:rsidP="00DA0AA4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0336E9">
        <w:rPr>
          <w:rFonts w:asciiTheme="minorHAnsi" w:hAnsiTheme="minorHAnsi" w:cstheme="minorHAnsi"/>
          <w:sz w:val="24"/>
          <w:szCs w:val="24"/>
          <w:lang w:val="pl-PL"/>
        </w:rPr>
        <w:t xml:space="preserve">Przedmiotem umowy jest </w:t>
      </w:r>
      <w:r w:rsidRPr="000336E9">
        <w:rPr>
          <w:rFonts w:asciiTheme="minorHAnsi" w:hAnsiTheme="minorHAnsi" w:cstheme="minorHAnsi"/>
          <w:b/>
          <w:sz w:val="24"/>
          <w:szCs w:val="24"/>
          <w:lang w:val="pl-PL"/>
        </w:rPr>
        <w:t>„</w:t>
      </w:r>
      <w:r w:rsidRPr="000336E9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Zakup energii elektrycznej dla Gminy Somonino oraz jednostek organizacyjnych Gminy Somonino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 w okresie od 01.01.2023 r. do </w:t>
      </w:r>
      <w:r w:rsidRPr="000336E9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31.12.2023 r.</w:t>
      </w:r>
      <w:r w:rsidRPr="000336E9">
        <w:rPr>
          <w:rFonts w:asciiTheme="minorHAnsi" w:hAnsiTheme="minorHAnsi" w:cstheme="minorHAnsi"/>
          <w:b/>
          <w:sz w:val="24"/>
          <w:szCs w:val="24"/>
          <w:lang w:val="pl-PL"/>
        </w:rPr>
        <w:t>”</w:t>
      </w:r>
    </w:p>
    <w:p w:rsidR="000336E9" w:rsidRPr="000336E9" w:rsidRDefault="000336E9" w:rsidP="00DA0AA4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36E9">
        <w:rPr>
          <w:rFonts w:asciiTheme="minorHAnsi" w:hAnsiTheme="minorHAnsi" w:cstheme="minorHAnsi"/>
          <w:sz w:val="24"/>
          <w:szCs w:val="24"/>
          <w:lang w:val="pl-PL"/>
        </w:rPr>
        <w:t xml:space="preserve">Wybrany Wykonawca winien przedstawić Zamawiającemu w terminie do </w:t>
      </w:r>
      <w:r w:rsidR="00B64053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0336E9">
        <w:rPr>
          <w:rFonts w:asciiTheme="minorHAnsi" w:hAnsiTheme="minorHAnsi" w:cstheme="minorHAnsi"/>
          <w:sz w:val="24"/>
          <w:szCs w:val="24"/>
          <w:lang w:val="pl-PL"/>
        </w:rPr>
        <w:t xml:space="preserve"> dni od dnia rozstrzygnięciu postępowania (opublikowania przez Zamawiającego na stronie internetowej prowadzonego postepowania informacji o wyborze najkorzystniejszej oferty) wzór Umowy </w:t>
      </w:r>
      <w:r w:rsidR="00B64053">
        <w:rPr>
          <w:rFonts w:asciiTheme="minorHAnsi" w:hAnsiTheme="minorHAnsi" w:cstheme="minorHAnsi"/>
          <w:sz w:val="24"/>
          <w:szCs w:val="24"/>
          <w:lang w:val="pl-PL"/>
        </w:rPr>
        <w:t xml:space="preserve">sprzedaży energii elektrycznej - zgodny z IRiESD </w:t>
      </w:r>
      <w:r w:rsidRPr="000336E9">
        <w:rPr>
          <w:rFonts w:asciiTheme="minorHAnsi" w:hAnsiTheme="minorHAnsi" w:cstheme="minorHAnsi"/>
          <w:sz w:val="24"/>
          <w:szCs w:val="24"/>
          <w:lang w:val="pl-PL"/>
        </w:rPr>
        <w:t xml:space="preserve">oraz powszechnie obowiązującymi przepisami prawa. </w:t>
      </w:r>
    </w:p>
    <w:p w:rsidR="000336E9" w:rsidRPr="00146FD9" w:rsidRDefault="00B64053" w:rsidP="00DA0AA4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Wykonawca zawrze umowę sprzedaży energii elektrycznej </w:t>
      </w:r>
      <w:r w:rsidR="004502C5">
        <w:rPr>
          <w:rFonts w:asciiTheme="minorHAnsi" w:hAnsiTheme="minorHAnsi" w:cstheme="minorHAnsi"/>
          <w:sz w:val="24"/>
          <w:szCs w:val="24"/>
          <w:lang w:val="pl-PL"/>
        </w:rPr>
        <w:t>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502C5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Gminą</w:t>
      </w:r>
      <w:r w:rsidRPr="000336E9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 Somonino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 siedzibą: ul. </w:t>
      </w:r>
      <w:r w:rsidRPr="00B64053">
        <w:rPr>
          <w:rFonts w:asciiTheme="minorHAnsi" w:hAnsiTheme="minorHAnsi" w:cstheme="minorHAnsi"/>
          <w:bCs/>
          <w:iCs/>
          <w:sz w:val="24"/>
          <w:szCs w:val="24"/>
          <w:lang w:val="pl-PL"/>
        </w:rPr>
        <w:t>Ceynowy 21, 83-314 Somonino</w:t>
      </w:r>
      <w:r w:rsidR="004502C5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NIP </w:t>
      </w:r>
      <w:r w:rsidR="004502C5" w:rsidRPr="004502C5">
        <w:rPr>
          <w:rFonts w:asciiTheme="minorHAnsi" w:hAnsiTheme="minorHAnsi" w:cstheme="minorHAnsi"/>
          <w:bCs/>
          <w:iCs/>
          <w:sz w:val="24"/>
          <w:szCs w:val="24"/>
          <w:lang w:val="pl-PL"/>
        </w:rPr>
        <w:t>589-10-31-191</w:t>
      </w:r>
      <w:r w:rsidR="004502C5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oraz z </w:t>
      </w:r>
      <w:r w:rsidR="00146FD9">
        <w:rPr>
          <w:rFonts w:asciiTheme="minorHAnsi" w:hAnsiTheme="minorHAnsi" w:cstheme="minorHAnsi"/>
          <w:bCs/>
          <w:iCs/>
          <w:sz w:val="24"/>
          <w:szCs w:val="24"/>
          <w:lang w:val="pl-PL"/>
        </w:rPr>
        <w:t>jednostkami organizacyjnymi Gminy Somonino:</w:t>
      </w:r>
    </w:p>
    <w:p w:rsidR="00146FD9" w:rsidRPr="00146FD9" w:rsidRDefault="00146FD9" w:rsidP="00DA0AA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6FD9">
        <w:rPr>
          <w:rFonts w:asciiTheme="minorHAnsi" w:hAnsiTheme="minorHAnsi" w:cstheme="minorHAnsi"/>
          <w:sz w:val="24"/>
          <w:szCs w:val="24"/>
          <w:lang w:val="pl-PL"/>
        </w:rPr>
        <w:t>Gminne Przedszkole w Goręczynie, Kasztelańska 46, 83-311, Goręczyno,</w:t>
      </w:r>
    </w:p>
    <w:p w:rsidR="00146FD9" w:rsidRPr="00146FD9" w:rsidRDefault="00146FD9" w:rsidP="00DA0AA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6FD9">
        <w:rPr>
          <w:rFonts w:asciiTheme="minorHAnsi" w:hAnsiTheme="minorHAnsi" w:cstheme="minorHAnsi"/>
          <w:sz w:val="24"/>
          <w:szCs w:val="24"/>
          <w:lang w:val="pl-PL"/>
        </w:rPr>
        <w:t>Szkoła Podstawowa im. Kawalerów Orderu Uśmiechu w Borczu, ul. Kościerska 34 A, Borcz, 83-312 Hopowo,</w:t>
      </w:r>
    </w:p>
    <w:p w:rsidR="00146FD9" w:rsidRPr="00146FD9" w:rsidRDefault="00146FD9" w:rsidP="00DA0AA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6FD9">
        <w:rPr>
          <w:rFonts w:asciiTheme="minorHAnsi" w:hAnsiTheme="minorHAnsi" w:cstheme="minorHAnsi"/>
          <w:sz w:val="24"/>
          <w:szCs w:val="24"/>
          <w:lang w:val="pl-PL"/>
        </w:rPr>
        <w:t>Szkoła Podstawowa im. św. Franciszka z Asyżu w Egiertowie, ul. Kartuska 1, 83-312 Hopowo,</w:t>
      </w:r>
    </w:p>
    <w:p w:rsidR="00146FD9" w:rsidRPr="00146FD9" w:rsidRDefault="00146FD9" w:rsidP="00DA0AA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6FD9">
        <w:rPr>
          <w:rFonts w:asciiTheme="minorHAnsi" w:hAnsiTheme="minorHAnsi" w:cstheme="minorHAnsi"/>
          <w:sz w:val="24"/>
          <w:szCs w:val="24"/>
          <w:lang w:val="pl-PL"/>
        </w:rPr>
        <w:t>Szkoła Podstawowa im. Ziemi Kaszubskiej w Goręczynie, ul. Szkolna 7, 83-311 Goręczyno,</w:t>
      </w:r>
    </w:p>
    <w:p w:rsidR="00146FD9" w:rsidRPr="00146FD9" w:rsidRDefault="00146FD9" w:rsidP="00DA0AA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6FD9">
        <w:rPr>
          <w:rFonts w:asciiTheme="minorHAnsi" w:hAnsiTheme="minorHAnsi" w:cstheme="minorHAnsi"/>
          <w:sz w:val="24"/>
          <w:szCs w:val="24"/>
          <w:lang w:val="pl-PL"/>
        </w:rPr>
        <w:t>Szkoła Podstawowa im. Kardynała Stefana Wyszyńskiego w Somoninie, ul. Osiedlowa  17, 83-314 Somonino,</w:t>
      </w:r>
    </w:p>
    <w:p w:rsidR="00146FD9" w:rsidRPr="00146FD9" w:rsidRDefault="00146FD9" w:rsidP="00DA0AA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6FD9">
        <w:rPr>
          <w:rFonts w:asciiTheme="minorHAnsi" w:hAnsiTheme="minorHAnsi" w:cstheme="minorHAnsi"/>
          <w:sz w:val="24"/>
          <w:szCs w:val="24"/>
          <w:lang w:val="pl-PL"/>
        </w:rPr>
        <w:t>Gminny Ośrodek Kultury w Somoninie, ul. Ceynowy 1/A, 83-314 Somonino,</w:t>
      </w:r>
    </w:p>
    <w:p w:rsidR="00146FD9" w:rsidRPr="00146FD9" w:rsidRDefault="00146FD9" w:rsidP="00DA0AA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6FD9">
        <w:rPr>
          <w:rFonts w:asciiTheme="minorHAnsi" w:hAnsiTheme="minorHAnsi" w:cstheme="minorHAnsi"/>
          <w:sz w:val="24"/>
          <w:szCs w:val="24"/>
          <w:lang w:val="pl-PL"/>
        </w:rPr>
        <w:t>Warsztat Terapii Zajęciowej w Somoninie, ul. Osiedlowa 17, 83-314 Somonino,</w:t>
      </w:r>
    </w:p>
    <w:p w:rsidR="00146FD9" w:rsidRPr="00146FD9" w:rsidRDefault="00146FD9" w:rsidP="00DA0AA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6FD9">
        <w:rPr>
          <w:rFonts w:asciiTheme="minorHAnsi" w:hAnsiTheme="minorHAnsi" w:cstheme="minorHAnsi"/>
          <w:sz w:val="24"/>
          <w:szCs w:val="24"/>
          <w:lang w:val="pl-PL"/>
        </w:rPr>
        <w:t>Samodzielny Publiczny Zakład Opieki Zdrowotnej w Somoninie, ul. Wolności 13, 83-314 Somonino,</w:t>
      </w:r>
    </w:p>
    <w:p w:rsidR="00146FD9" w:rsidRDefault="00146FD9" w:rsidP="00DA0AA4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6FD9">
        <w:rPr>
          <w:rFonts w:asciiTheme="minorHAnsi" w:hAnsiTheme="minorHAnsi" w:cstheme="minorHAnsi"/>
          <w:sz w:val="24"/>
          <w:szCs w:val="24"/>
          <w:lang w:val="pl-PL"/>
        </w:rPr>
        <w:t>Środowiskowy Dom Samopomocy w Rybakach, ul. Szkolna 1, 83-315 Rybaki.</w:t>
      </w:r>
    </w:p>
    <w:p w:rsidR="00146FD9" w:rsidRPr="00146FD9" w:rsidRDefault="00146FD9" w:rsidP="00BA65FC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6FD9">
        <w:rPr>
          <w:rFonts w:asciiTheme="minorHAnsi" w:hAnsiTheme="minorHAnsi" w:cstheme="minorHAnsi"/>
          <w:sz w:val="24"/>
          <w:szCs w:val="24"/>
          <w:lang w:val="pl-PL"/>
        </w:rPr>
        <w:t xml:space="preserve">Umowa zostanie zawarta w wyniku </w:t>
      </w:r>
      <w:r w:rsidR="00FE2B7F" w:rsidRPr="00FE2B7F">
        <w:rPr>
          <w:rFonts w:asciiTheme="minorHAnsi" w:hAnsiTheme="minorHAnsi" w:cstheme="minorHAnsi"/>
          <w:sz w:val="24"/>
          <w:szCs w:val="24"/>
          <w:lang w:val="pl-PL"/>
        </w:rPr>
        <w:t xml:space="preserve">przeprowadzenia postępowania o udzielenie zamówienia publicznego w trybie podstawowym - na podstawie przepisów ustawy z </w:t>
      </w:r>
      <w:r w:rsidR="00FE2B7F" w:rsidRPr="00FE2B7F">
        <w:rPr>
          <w:rFonts w:asciiTheme="minorHAnsi" w:hAnsiTheme="minorHAnsi" w:cstheme="minorHAnsi"/>
          <w:sz w:val="24"/>
          <w:szCs w:val="24"/>
          <w:lang w:val="pl-PL"/>
        </w:rPr>
        <w:lastRenderedPageBreak/>
        <w:t>dnia 11 września 2019 roku prawo zamówień publicznych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46FD9">
        <w:rPr>
          <w:rFonts w:asciiTheme="minorHAnsi" w:hAnsiTheme="minorHAnsi" w:cstheme="minorHAnsi"/>
          <w:sz w:val="24"/>
          <w:szCs w:val="24"/>
          <w:lang w:val="pl-PL"/>
        </w:rPr>
        <w:t>(Dz. U. z 2022 r. poz. 1710 ze zm.)</w:t>
      </w:r>
    </w:p>
    <w:p w:rsidR="00146FD9" w:rsidRDefault="00E256EB" w:rsidP="00BA65FC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256EB">
        <w:rPr>
          <w:rFonts w:asciiTheme="minorHAnsi" w:hAnsiTheme="minorHAnsi" w:cstheme="minorHAnsi"/>
          <w:sz w:val="24"/>
          <w:szCs w:val="24"/>
          <w:lang w:val="pl-PL"/>
        </w:rPr>
        <w:t>Oprócz istotnych postanowień umownych, umowa z Wykonawcą zawierać będzie również elementy wynikające z ustawy z dnia 10 kwietnia 1997 r. Prawo energetyczne (t.j. Dz.U. z 2022 r., poz. 1385 ze zm.).</w:t>
      </w:r>
    </w:p>
    <w:p w:rsidR="00E256EB" w:rsidRDefault="00E256EB" w:rsidP="00BA65FC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256EB">
        <w:rPr>
          <w:rFonts w:asciiTheme="minorHAnsi" w:hAnsiTheme="minorHAnsi" w:cstheme="minorHAnsi"/>
          <w:sz w:val="24"/>
          <w:szCs w:val="24"/>
          <w:lang w:val="pl-PL"/>
        </w:rPr>
        <w:t xml:space="preserve">Wykonawca zobowiązuje się do sprzedaży </w:t>
      </w:r>
      <w:r>
        <w:rPr>
          <w:rFonts w:asciiTheme="minorHAnsi" w:hAnsiTheme="minorHAnsi" w:cstheme="minorHAnsi"/>
          <w:sz w:val="24"/>
          <w:szCs w:val="24"/>
          <w:lang w:val="pl-PL"/>
        </w:rPr>
        <w:t>energii elektrycznej do</w:t>
      </w:r>
      <w:r w:rsidRPr="00E256EB">
        <w:rPr>
          <w:rFonts w:asciiTheme="minorHAnsi" w:hAnsiTheme="minorHAnsi" w:cstheme="minorHAnsi"/>
          <w:sz w:val="24"/>
          <w:szCs w:val="24"/>
          <w:lang w:val="pl-PL"/>
        </w:rPr>
        <w:t xml:space="preserve"> obiektów Zamawiającego </w:t>
      </w:r>
      <w:r w:rsidRPr="00712485">
        <w:rPr>
          <w:rFonts w:asciiTheme="minorHAnsi" w:hAnsiTheme="minorHAnsi" w:cstheme="minorHAnsi"/>
          <w:sz w:val="24"/>
          <w:szCs w:val="24"/>
          <w:lang w:val="pl-PL"/>
        </w:rPr>
        <w:t xml:space="preserve">zgodnie z </w:t>
      </w:r>
      <w:r w:rsidRPr="00712485">
        <w:rPr>
          <w:rFonts w:asciiTheme="minorHAnsi" w:hAnsiTheme="minorHAnsi" w:cstheme="minorHAnsi"/>
          <w:iCs/>
          <w:sz w:val="24"/>
          <w:szCs w:val="24"/>
          <w:lang w:val="pl-PL"/>
        </w:rPr>
        <w:t>Załącznikiem nr 1</w:t>
      </w:r>
      <w:r w:rsidR="00712485" w:rsidRPr="00712485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do U</w:t>
      </w:r>
      <w:r w:rsidR="004C392D" w:rsidRPr="00712485">
        <w:rPr>
          <w:rFonts w:asciiTheme="minorHAnsi" w:hAnsiTheme="minorHAnsi" w:cstheme="minorHAnsi"/>
          <w:iCs/>
          <w:sz w:val="24"/>
          <w:szCs w:val="24"/>
          <w:lang w:val="pl-PL"/>
        </w:rPr>
        <w:t>mowy</w:t>
      </w:r>
      <w:r w:rsidRPr="00E256EB">
        <w:rPr>
          <w:rFonts w:asciiTheme="minorHAnsi" w:hAnsiTheme="minorHAnsi" w:cstheme="minorHAnsi"/>
          <w:sz w:val="24"/>
          <w:szCs w:val="24"/>
          <w:lang w:val="pl-PL"/>
        </w:rPr>
        <w:t>. Zamawiający oświadcza, że dysponuje tytułem prawnym do korzystania z obiektów, do których na po</w:t>
      </w:r>
      <w:r w:rsidR="00DE6591">
        <w:rPr>
          <w:rFonts w:asciiTheme="minorHAnsi" w:hAnsiTheme="minorHAnsi" w:cstheme="minorHAnsi"/>
          <w:sz w:val="24"/>
          <w:szCs w:val="24"/>
          <w:lang w:val="pl-PL"/>
        </w:rPr>
        <w:t>dstawie Umowy będzie dostarczana</w:t>
      </w:r>
      <w:r w:rsidRPr="00E256E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energia elektryczna</w:t>
      </w:r>
      <w:r w:rsidRPr="00E256E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1A0AAD" w:rsidRPr="001A0AAD" w:rsidRDefault="001A0AAD" w:rsidP="00BA65FC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A0AAD">
        <w:rPr>
          <w:rFonts w:asciiTheme="minorHAnsi" w:hAnsiTheme="minorHAnsi" w:cstheme="minorHAnsi"/>
          <w:sz w:val="24"/>
          <w:szCs w:val="24"/>
          <w:lang w:val="pl-PL"/>
        </w:rPr>
        <w:t xml:space="preserve">Energia elektryczna kupowana na podstawie niniejszej Umowy zużywana będzie na potrzeby </w:t>
      </w:r>
      <w:r>
        <w:rPr>
          <w:rFonts w:asciiTheme="minorHAnsi" w:hAnsiTheme="minorHAnsi" w:cstheme="minorHAnsi"/>
          <w:sz w:val="24"/>
          <w:szCs w:val="24"/>
          <w:lang w:val="pl-PL"/>
        </w:rPr>
        <w:t>N</w:t>
      </w:r>
      <w:r w:rsidRPr="001A0AAD">
        <w:rPr>
          <w:rFonts w:asciiTheme="minorHAnsi" w:hAnsiTheme="minorHAnsi" w:cstheme="minorHAnsi"/>
          <w:sz w:val="24"/>
          <w:szCs w:val="24"/>
          <w:lang w:val="pl-PL"/>
        </w:rPr>
        <w:t>abywcy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(O</w:t>
      </w:r>
      <w:r w:rsidRPr="001A0AAD">
        <w:rPr>
          <w:rFonts w:asciiTheme="minorHAnsi" w:hAnsiTheme="minorHAnsi" w:cstheme="minorHAnsi"/>
          <w:sz w:val="24"/>
          <w:szCs w:val="24"/>
          <w:lang w:val="pl-PL"/>
        </w:rPr>
        <w:t>dbiorcy) końcowego w rozumieniu przepisów ustawy z dnia 16.12.2008 r. o podatku akcyzowym.</w:t>
      </w:r>
    </w:p>
    <w:p w:rsidR="00A35DB1" w:rsidRDefault="004C392D" w:rsidP="00BA65FC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392D">
        <w:rPr>
          <w:rFonts w:asciiTheme="minorHAnsi" w:hAnsiTheme="minorHAnsi" w:cstheme="minorHAnsi"/>
          <w:sz w:val="24"/>
          <w:szCs w:val="24"/>
          <w:lang w:val="pl-PL"/>
        </w:rPr>
        <w:t>Wykonawca dokona w imieniu Zamawiającego zmiany sprzedawcy u Operatora Systemu Dystrybucyjnego, na podstawie załączonego do umowy pełnomocnictw</w:t>
      </w:r>
      <w:r>
        <w:rPr>
          <w:rFonts w:asciiTheme="minorHAnsi" w:hAnsiTheme="minorHAnsi" w:cstheme="minorHAnsi"/>
          <w:sz w:val="24"/>
          <w:szCs w:val="24"/>
          <w:lang w:val="pl-PL"/>
        </w:rPr>
        <w:t>a.</w:t>
      </w:r>
    </w:p>
    <w:p w:rsidR="00E256EB" w:rsidRDefault="00A35DB1" w:rsidP="00BA65FC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35DB1">
        <w:rPr>
          <w:rFonts w:asciiTheme="minorHAnsi" w:hAnsiTheme="minorHAnsi" w:cstheme="minorHAnsi"/>
          <w:sz w:val="24"/>
          <w:szCs w:val="24"/>
          <w:lang w:val="pl-PL"/>
        </w:rPr>
        <w:t>Umowa nie obejmuje świadczenia usług dystrybucji energii elektrycznej zawieranej przez Zamawiającego przy pomocy Wykonawcy z OSD (o ile wystąpi taka konieczność) na podstawie Pełnomocnictwa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4C392D" w:rsidRDefault="004C392D" w:rsidP="004C392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1A0AAD" w:rsidRDefault="001A0AAD" w:rsidP="00BA65F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</w:t>
      </w:r>
      <w:r w:rsidR="00447D74">
        <w:rPr>
          <w:rFonts w:asciiTheme="minorHAnsi" w:hAnsiTheme="minorHAnsi" w:cstheme="minorHAnsi"/>
          <w:b/>
          <w:sz w:val="24"/>
          <w:szCs w:val="24"/>
          <w:lang w:val="pl-PL"/>
        </w:rPr>
        <w:t>ostanowienia w zakresie obsługi, standardów jakościowych i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bonifikat.</w:t>
      </w:r>
    </w:p>
    <w:p w:rsidR="00447D74" w:rsidRDefault="00447D74" w:rsidP="00BA65FC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47D74">
        <w:rPr>
          <w:rFonts w:asciiTheme="minorHAnsi" w:hAnsiTheme="minorHAnsi" w:cstheme="minorHAnsi"/>
          <w:sz w:val="24"/>
          <w:szCs w:val="24"/>
          <w:lang w:val="pl-PL"/>
        </w:rPr>
        <w:t>Wykonawca zobowiązuje się zapewnić standardy jakościowe obsługi w przedmiocie niniejszej Umowy.</w:t>
      </w:r>
    </w:p>
    <w:p w:rsidR="00447D74" w:rsidRDefault="00901D7A" w:rsidP="00BA65FC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01D7A">
        <w:rPr>
          <w:rFonts w:asciiTheme="minorHAnsi" w:hAnsiTheme="minorHAnsi" w:cstheme="minorHAnsi"/>
          <w:sz w:val="24"/>
          <w:szCs w:val="24"/>
          <w:lang w:val="pl-PL"/>
        </w:rPr>
        <w:t>W przypadku niedotrzymania standardów jakościowych obsługi, określonych obowiązującymi przepisami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Prawa energetycznego, Wykonawca zobowiązany jest do udzielania bonifikat za niedotrzymanie przez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Wykonawcę standardów jakościowych obsługi odbiorcy w terminie 30 dni od dnia, w którym nastąpiło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niedotrzymanie standardó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w jakościowych obsługi odbiorców, w wysokości określonej Prawem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energetycznym oraz zgodnie z obowiązującymi rozporządzeniami do ww. ustawy lub innym,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obowiązuj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ącym w chwili zaistnienia okoliczności, aktem prawnym.</w:t>
      </w:r>
    </w:p>
    <w:p w:rsidR="00901D7A" w:rsidRDefault="00901D7A" w:rsidP="00BA65FC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01D7A">
        <w:rPr>
          <w:rFonts w:asciiTheme="minorHAnsi" w:hAnsiTheme="minorHAnsi" w:cstheme="minorHAnsi"/>
          <w:sz w:val="24"/>
          <w:szCs w:val="24"/>
          <w:lang w:val="pl-PL"/>
        </w:rPr>
        <w:t>Wykonawca zobowiązany jest do:</w:t>
      </w:r>
    </w:p>
    <w:p w:rsidR="00901D7A" w:rsidRDefault="00901D7A" w:rsidP="00BA65FC">
      <w:pPr>
        <w:pStyle w:val="Akapitzlist"/>
        <w:numPr>
          <w:ilvl w:val="0"/>
          <w:numId w:val="22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01D7A">
        <w:rPr>
          <w:rFonts w:asciiTheme="minorHAnsi" w:hAnsiTheme="minorHAnsi" w:cstheme="minorHAnsi"/>
          <w:sz w:val="24"/>
          <w:szCs w:val="24"/>
          <w:lang w:val="pl-PL"/>
        </w:rPr>
        <w:t>udzielania Zamawiającemu odpowiedzi na złożone (pisemnie /drogą elektroniczną) zapytania, wnioski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(w szczególności dotyczące rozliczeń, procedury zmiany sprzedawcy, dostaw rezerwowych) 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 xml:space="preserve">terminie nie późniejszym niż 14 </w:t>
      </w:r>
      <w:r>
        <w:rPr>
          <w:rFonts w:asciiTheme="minorHAnsi" w:hAnsiTheme="minorHAnsi" w:cstheme="minorHAnsi"/>
          <w:sz w:val="24"/>
          <w:szCs w:val="24"/>
          <w:lang w:val="pl-PL"/>
        </w:rPr>
        <w:t>dni od daty wpływu do Wykonawcy;</w:t>
      </w:r>
    </w:p>
    <w:p w:rsidR="00901D7A" w:rsidRDefault="00901D7A" w:rsidP="00BA65FC">
      <w:pPr>
        <w:pStyle w:val="Akapitzlist"/>
        <w:numPr>
          <w:ilvl w:val="0"/>
          <w:numId w:val="22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01D7A">
        <w:rPr>
          <w:rFonts w:asciiTheme="minorHAnsi" w:hAnsiTheme="minorHAnsi" w:cstheme="minorHAnsi"/>
          <w:sz w:val="24"/>
          <w:szCs w:val="24"/>
          <w:lang w:val="pl-PL"/>
        </w:rPr>
        <w:t>wystawienia i dostarczenia (adres jak dla faktury) faktury korygującej w terminie 14 dni od daty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rozpatrzenia i uznania reklamacji.</w:t>
      </w:r>
    </w:p>
    <w:p w:rsidR="00901D7A" w:rsidRDefault="00901D7A" w:rsidP="00BA65FC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nie ponosi odpowiedzialności za niedostarczenie energii elektrycznej do obiektów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Zamawiającego {Odbiorcy) w przypadku klęsk żywiołowych, innych przypadków sity wyższej, awarii 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systemie oraz awarii sieciowy</w:t>
      </w:r>
      <w:r w:rsidR="00FB0D08">
        <w:rPr>
          <w:rFonts w:asciiTheme="minorHAnsi" w:hAnsiTheme="minorHAnsi" w:cstheme="minorHAnsi"/>
          <w:sz w:val="24"/>
          <w:szCs w:val="24"/>
          <w:lang w:val="pl-PL"/>
        </w:rPr>
        <w:t xml:space="preserve">ch, jak również z powodu wyłączeń </w:t>
      </w:r>
      <w:r w:rsidRPr="00901D7A">
        <w:rPr>
          <w:rFonts w:asciiTheme="minorHAnsi" w:hAnsiTheme="minorHAnsi" w:cstheme="minorHAnsi"/>
          <w:sz w:val="24"/>
          <w:szCs w:val="24"/>
          <w:lang w:val="pl-PL"/>
        </w:rPr>
        <w:t>dokonywanych przez OSD.</w:t>
      </w:r>
    </w:p>
    <w:p w:rsidR="002C344D" w:rsidRPr="002C344D" w:rsidRDefault="002C344D" w:rsidP="002C344D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C344D">
        <w:rPr>
          <w:rFonts w:asciiTheme="minorHAnsi" w:hAnsiTheme="minorHAnsi" w:cstheme="minorHAnsi"/>
          <w:sz w:val="24"/>
          <w:szCs w:val="24"/>
          <w:lang w:val="pl-PL"/>
        </w:rPr>
        <w:t xml:space="preserve">Wykonawca w ramach Umowy pełni funkcję Podmiotu Odpowiedzialnego za Bilansowanie Handlowe dla energii elektrycznej sprzedanej do PPE Odbiorcy. </w:t>
      </w:r>
      <w:r w:rsidRPr="002C344D">
        <w:rPr>
          <w:rFonts w:asciiTheme="minorHAnsi" w:hAnsiTheme="minorHAnsi" w:cstheme="minorHAnsi"/>
          <w:sz w:val="24"/>
          <w:szCs w:val="24"/>
          <w:lang w:val="pl-PL"/>
        </w:rPr>
        <w:lastRenderedPageBreak/>
        <w:t>Bilansowanie rozumiane jest jako pokrycie strat wynikających z różnicy zużycia energii prognozowanego w stosunku do rzeczywistego w danym okresie rozliczeniowym.</w:t>
      </w:r>
    </w:p>
    <w:p w:rsidR="002C344D" w:rsidRDefault="002C344D" w:rsidP="002C344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C344D">
        <w:rPr>
          <w:rFonts w:asciiTheme="minorHAnsi" w:hAnsiTheme="minorHAnsi" w:cstheme="minorHAnsi"/>
          <w:sz w:val="24"/>
          <w:szCs w:val="24"/>
          <w:lang w:val="pl-PL"/>
        </w:rPr>
        <w:t>Wykonawca zwalnia Zamawiającego z wszelkich kosztów i obowiązków związanych z bilansowaniem handlowym oraz przygotowywaniem i zgłaszaniem grafików zapotrzebowania na energię elektryczną do OSD oraz OSP.</w:t>
      </w:r>
    </w:p>
    <w:p w:rsidR="00FB0D08" w:rsidRPr="00901D7A" w:rsidRDefault="00FB0D08" w:rsidP="00FB0D08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B0D08" w:rsidRDefault="00FB0D08" w:rsidP="00BA65F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Postanowienia w zakresie ceny i stawki opłat.</w:t>
      </w:r>
    </w:p>
    <w:p w:rsidR="00642169" w:rsidRDefault="00FB0D08" w:rsidP="00BA65FC">
      <w:pPr>
        <w:pStyle w:val="Akapitzlis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C5B49">
        <w:rPr>
          <w:rFonts w:asciiTheme="minorHAnsi" w:hAnsiTheme="minorHAnsi" w:cstheme="minorHAnsi"/>
          <w:sz w:val="24"/>
          <w:szCs w:val="24"/>
          <w:lang w:val="pl-PL"/>
        </w:rPr>
        <w:t xml:space="preserve">Wynagrodzenie </w:t>
      </w:r>
      <w:r w:rsidR="005C5B49" w:rsidRPr="005C5B49">
        <w:rPr>
          <w:rFonts w:asciiTheme="minorHAnsi" w:hAnsiTheme="minorHAnsi" w:cstheme="minorHAnsi"/>
          <w:sz w:val="24"/>
          <w:szCs w:val="24"/>
          <w:lang w:val="pl-PL"/>
        </w:rPr>
        <w:t xml:space="preserve">Wykonawcy z tytułu realizacji niniejszej Umowy obliczane będzie jako iloczyn ilości faktycznie zużytej energii elektrycznej ustalonej na podstawie danych pomiarowo-rozliczeniowych udostępnionych Wykonawcy przez OSD oraz </w:t>
      </w:r>
      <w:r w:rsidR="005C5B49">
        <w:rPr>
          <w:rFonts w:asciiTheme="minorHAnsi" w:hAnsiTheme="minorHAnsi" w:cstheme="minorHAnsi"/>
          <w:sz w:val="24"/>
          <w:szCs w:val="24"/>
          <w:lang w:val="pl-PL"/>
        </w:rPr>
        <w:t xml:space="preserve">średniomiesięcznej </w:t>
      </w:r>
      <w:r w:rsidR="00E07903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E07903" w:rsidRPr="00E07903">
        <w:rPr>
          <w:rFonts w:asciiTheme="minorHAnsi" w:hAnsiTheme="minorHAnsi" w:cstheme="minorHAnsi"/>
          <w:sz w:val="24"/>
          <w:szCs w:val="24"/>
          <w:lang w:val="pl-PL"/>
        </w:rPr>
        <w:t>średnia arytmetyczna z notowań za dany miesiąc kalendarzowy</w:t>
      </w:r>
      <w:r w:rsidR="00E07903">
        <w:rPr>
          <w:rFonts w:asciiTheme="minorHAnsi" w:hAnsiTheme="minorHAnsi" w:cstheme="minorHAnsi"/>
          <w:sz w:val="24"/>
          <w:szCs w:val="24"/>
          <w:lang w:val="pl-PL"/>
        </w:rPr>
        <w:t xml:space="preserve">) </w:t>
      </w:r>
      <w:r w:rsidR="005C5B49" w:rsidRPr="005C5B49">
        <w:rPr>
          <w:rFonts w:asciiTheme="minorHAnsi" w:hAnsiTheme="minorHAnsi" w:cstheme="minorHAnsi"/>
          <w:sz w:val="24"/>
          <w:szCs w:val="24"/>
          <w:lang w:val="pl-PL"/>
        </w:rPr>
        <w:t>ceny jednostkowej netto energii elektrycznej</w:t>
      </w:r>
      <w:r w:rsidR="00E07903">
        <w:rPr>
          <w:rFonts w:asciiTheme="minorHAnsi" w:hAnsiTheme="minorHAnsi" w:cstheme="minorHAnsi"/>
          <w:sz w:val="24"/>
          <w:szCs w:val="24"/>
          <w:lang w:val="pl-PL"/>
        </w:rPr>
        <w:t xml:space="preserve"> z notowań</w:t>
      </w:r>
      <w:r w:rsidR="00A91909">
        <w:rPr>
          <w:rFonts w:asciiTheme="minorHAnsi" w:hAnsiTheme="minorHAnsi" w:cstheme="minorHAnsi"/>
          <w:sz w:val="24"/>
          <w:szCs w:val="24"/>
          <w:lang w:val="pl-PL"/>
        </w:rPr>
        <w:t xml:space="preserve"> indeksu TGe24 na</w:t>
      </w:r>
      <w:r w:rsidR="00A91909" w:rsidRPr="00A91909">
        <w:t xml:space="preserve"> </w:t>
      </w:r>
      <w:r w:rsidR="00A91909" w:rsidRPr="00A91909">
        <w:rPr>
          <w:rFonts w:asciiTheme="minorHAnsi" w:hAnsiTheme="minorHAnsi" w:cstheme="minorHAnsi"/>
          <w:sz w:val="24"/>
          <w:szCs w:val="24"/>
          <w:lang w:val="pl-PL"/>
        </w:rPr>
        <w:t>Rynku Dnia Następnego (RDN)</w:t>
      </w:r>
      <w:r w:rsidR="003101D4">
        <w:rPr>
          <w:rFonts w:asciiTheme="minorHAnsi" w:hAnsiTheme="minorHAnsi" w:cstheme="minorHAnsi"/>
          <w:sz w:val="24"/>
          <w:szCs w:val="24"/>
          <w:lang w:val="pl-PL"/>
        </w:rPr>
        <w:t xml:space="preserve"> za dany miesiąc rozliczeniowy.</w:t>
      </w:r>
    </w:p>
    <w:p w:rsidR="00642169" w:rsidRDefault="0053615E" w:rsidP="00BA65FC">
      <w:pPr>
        <w:pStyle w:val="Akapitzlist"/>
        <w:numPr>
          <w:ilvl w:val="0"/>
          <w:numId w:val="23"/>
        </w:numPr>
        <w:spacing w:after="240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Średnia miesięczna c</w:t>
      </w:r>
      <w:r w:rsidR="00642169">
        <w:rPr>
          <w:rFonts w:asciiTheme="minorHAnsi" w:hAnsiTheme="minorHAnsi" w:cstheme="minorHAnsi"/>
          <w:sz w:val="24"/>
          <w:szCs w:val="24"/>
          <w:lang w:val="pl-PL"/>
        </w:rPr>
        <w:t>ena</w:t>
      </w:r>
      <w:r w:rsidR="00A9190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sprzedaży </w:t>
      </w:r>
      <w:r w:rsidR="00642169">
        <w:rPr>
          <w:rFonts w:asciiTheme="minorHAnsi" w:hAnsiTheme="minorHAnsi" w:cstheme="minorHAnsi"/>
          <w:sz w:val="24"/>
          <w:szCs w:val="24"/>
          <w:lang w:val="pl-PL"/>
        </w:rPr>
        <w:t xml:space="preserve">energii elektrycznej za MWh </w:t>
      </w:r>
      <w:r w:rsidR="00642169" w:rsidRPr="00642169">
        <w:rPr>
          <w:rFonts w:asciiTheme="minorHAnsi" w:hAnsiTheme="minorHAnsi" w:cstheme="minorHAnsi"/>
          <w:sz w:val="24"/>
          <w:szCs w:val="24"/>
          <w:lang w:val="pl-PL"/>
        </w:rPr>
        <w:t>wyliczana będzie na podstawie poniższego algorytmu wyznaczania ceny jednostkowej</w:t>
      </w:r>
      <w:r w:rsidR="00642169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42169" w:rsidRPr="0064216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4216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zawierającego odniesienie do notowań </w:t>
      </w:r>
      <w:r w:rsidR="007467A0">
        <w:rPr>
          <w:rFonts w:asciiTheme="minorHAnsi" w:hAnsiTheme="minorHAnsi" w:cstheme="minorHAnsi"/>
          <w:sz w:val="24"/>
          <w:szCs w:val="24"/>
          <w:lang w:val="pl-PL"/>
        </w:rPr>
        <w:t>RDN (SPOT)</w:t>
      </w:r>
      <w:r w:rsidR="0064216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Towarowej Giełdzie Energii S.A. w Warszawie:</w:t>
      </w:r>
    </w:p>
    <w:p w:rsidR="00213B96" w:rsidRDefault="00213B96" w:rsidP="00213B96">
      <w:pPr>
        <w:pStyle w:val="Akapitzlist"/>
        <w:spacing w:after="240"/>
        <w:ind w:left="78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213B96" w:rsidRPr="001E3085" w:rsidRDefault="00CC7CF4" w:rsidP="00213B96">
      <w:pPr>
        <w:pStyle w:val="Akapitzlist"/>
        <w:autoSpaceDE w:val="0"/>
        <w:autoSpaceDN w:val="0"/>
        <w:adjustRightInd w:val="0"/>
        <w:spacing w:line="276" w:lineRule="auto"/>
        <w:ind w:left="786"/>
        <w:textAlignment w:val="center"/>
        <w:rPr>
          <w:rFonts w:cs="Arial Narrow"/>
          <w:b/>
          <w:color w:val="000000" w:themeColor="text1"/>
          <w:spacing w:val="-2"/>
        </w:rPr>
      </w:pPr>
      <m:oMathPara>
        <m:oMath>
          <m:sSub>
            <m:sSubPr>
              <m:ctrlPr>
                <w:rPr>
                  <w:rFonts w:ascii="Cambria Math" w:hAnsi="Cambria Math" w:cs="Arial Narrow"/>
                  <w:b/>
                  <w:color w:val="000000" w:themeColor="text1"/>
                  <w:spacing w:val="-2"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 Narrow"/>
                  <w:color w:val="000000" w:themeColor="text1"/>
                  <w:spacing w:val="-2"/>
                  <w:sz w:val="28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hAnsi="Cambria Math" w:cs="Arial Narrow"/>
                      <w:b/>
                      <w:color w:val="000000" w:themeColor="text1"/>
                      <w:spacing w:val="-2"/>
                      <w:sz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 Narrow"/>
                      <w:color w:val="000000" w:themeColor="text1"/>
                      <w:spacing w:val="-2"/>
                      <w:sz w:val="28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 Narrow"/>
                      <w:color w:val="000000" w:themeColor="text1"/>
                      <w:spacing w:val="-2"/>
                      <w:sz w:val="28"/>
                    </w:rPr>
                    <m:t>spot</m:t>
                  </m:r>
                </m:sub>
              </m:sSub>
            </m:sub>
          </m:sSub>
          <m:r>
            <m:rPr>
              <m:sty m:val="b"/>
            </m:rPr>
            <w:rPr>
              <w:rFonts w:ascii="Cambria Math" w:hAnsi="Cambria Math" w:cs="Arial Narrow"/>
              <w:color w:val="000000" w:themeColor="text1"/>
              <w:spacing w:val="-2"/>
              <w:sz w:val="28"/>
            </w:rPr>
            <m:t>=</m:t>
          </m:r>
          <m:sSub>
            <m:sSubPr>
              <m:ctrlPr>
                <w:rPr>
                  <w:rFonts w:ascii="Cambria Math" w:hAnsi="Cambria Math" w:cs="Arial Narrow"/>
                  <w:b/>
                  <w:color w:val="000000" w:themeColor="text1"/>
                  <w:spacing w:val="-2"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 Narrow"/>
                  <w:color w:val="000000" w:themeColor="text1"/>
                  <w:spacing w:val="-2"/>
                  <w:sz w:val="28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 Narrow"/>
                  <w:color w:val="000000" w:themeColor="text1"/>
                  <w:spacing w:val="-2"/>
                  <w:sz w:val="28"/>
                </w:rPr>
                <m:t>b</m:t>
              </m:r>
            </m:sub>
          </m:sSub>
          <m:r>
            <m:rPr>
              <m:sty m:val="b"/>
            </m:rPr>
            <w:rPr>
              <w:rFonts w:ascii="Cambria Math" w:hAnsi="Cambria Math" w:cs="Arial Narrow"/>
              <w:color w:val="000000" w:themeColor="text1"/>
              <w:spacing w:val="-2"/>
              <w:sz w:val="28"/>
            </w:rPr>
            <m:t>*</m:t>
          </m:r>
          <m:sSub>
            <m:sSubPr>
              <m:ctrlPr>
                <w:rPr>
                  <w:rFonts w:ascii="Cambria Math" w:hAnsi="Cambria Math" w:cs="Arial Narrow"/>
                  <w:b/>
                  <w:color w:val="000000" w:themeColor="text1"/>
                  <w:spacing w:val="-2"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 Narrow"/>
                  <w:color w:val="000000" w:themeColor="text1"/>
                  <w:spacing w:val="-2"/>
                  <w:sz w:val="28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 Narrow"/>
                  <w:color w:val="000000" w:themeColor="text1"/>
                  <w:spacing w:val="-2"/>
                  <w:sz w:val="28"/>
                </w:rPr>
                <m:t>K</m:t>
              </m:r>
            </m:sub>
          </m:sSub>
          <m:r>
            <m:rPr>
              <m:sty m:val="b"/>
            </m:rPr>
            <w:rPr>
              <w:rFonts w:ascii="Cambria Math" w:hAnsi="Cambria Math" w:cs="Arial Narrow"/>
              <w:color w:val="000000" w:themeColor="text1"/>
              <w:spacing w:val="-2"/>
              <w:sz w:val="28"/>
            </w:rPr>
            <m:t>+K</m:t>
          </m:r>
        </m:oMath>
      </m:oMathPara>
    </w:p>
    <w:p w:rsidR="00213B96" w:rsidRPr="00AE13AD" w:rsidRDefault="00213B96" w:rsidP="00BA65FC">
      <w:pPr>
        <w:pStyle w:val="Akapitzlist"/>
        <w:ind w:left="567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E13AD">
        <w:rPr>
          <w:rFonts w:asciiTheme="minorHAnsi" w:hAnsiTheme="minorHAnsi" w:cstheme="minorHAnsi"/>
          <w:b/>
          <w:sz w:val="24"/>
          <w:szCs w:val="24"/>
          <w:lang w:val="pl-PL"/>
        </w:rPr>
        <w:t>gdzie:</w:t>
      </w:r>
    </w:p>
    <w:p w:rsidR="00213B96" w:rsidRDefault="00CC7CF4" w:rsidP="00BA65FC">
      <w:pPr>
        <w:pStyle w:val="Akapitzlist"/>
        <w:spacing w:after="240"/>
        <w:ind w:left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m:oMath>
        <m:sSub>
          <m:sSubPr>
            <m:ctrlPr>
              <w:rPr>
                <w:rFonts w:ascii="Cambria Math" w:hAnsi="Cambria Math" w:cstheme="minorHAnsi"/>
                <w:b/>
                <w:color w:val="000000" w:themeColor="text1"/>
                <w:spacing w:val="-2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pacing w:val="-2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color w:val="000000" w:themeColor="text1"/>
                    <w:spacing w:val="-2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pacing w:val="-2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pacing w:val="-2"/>
                    <w:sz w:val="28"/>
                    <w:szCs w:val="28"/>
                  </w:rPr>
                  <m:t>spot</m:t>
                </m:r>
              </m:sub>
            </m:sSub>
          </m:sub>
        </m:sSub>
      </m:oMath>
      <w:r w:rsidR="00213B96" w:rsidRPr="001E3085">
        <w:rPr>
          <w:rFonts w:asciiTheme="minorHAnsi" w:hAnsiTheme="minorHAnsi" w:cstheme="minorHAnsi"/>
          <w:b/>
          <w:color w:val="000000" w:themeColor="text1"/>
          <w:spacing w:val="-2"/>
          <w:sz w:val="28"/>
          <w:szCs w:val="28"/>
        </w:rPr>
        <w:t xml:space="preserve"> </w:t>
      </w:r>
      <w:r w:rsidR="00E4460B" w:rsidRPr="001E3085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>-</w:t>
      </w:r>
      <w:r w:rsidR="00213B96" w:rsidRPr="00E4460B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="00E4460B" w:rsidRPr="00E4460B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>średnia miesięczna</w:t>
      </w:r>
      <w:r w:rsidR="00E4460B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="00E4460B">
        <w:rPr>
          <w:rFonts w:asciiTheme="minorHAnsi" w:hAnsiTheme="minorHAnsi" w:cstheme="minorHAnsi"/>
          <w:sz w:val="24"/>
          <w:szCs w:val="24"/>
          <w:lang w:val="pl-PL"/>
        </w:rPr>
        <w:t>cena sprzedaży energii elektrycznej;</w:t>
      </w:r>
    </w:p>
    <w:p w:rsidR="00AE13AD" w:rsidRDefault="00AE13AD" w:rsidP="00BA65FC">
      <w:pPr>
        <w:pStyle w:val="Akapitzlist"/>
        <w:ind w:left="567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AE13AD" w:rsidRPr="00AE13AD" w:rsidRDefault="00AE13AD" w:rsidP="00BA65FC">
      <w:pPr>
        <w:pStyle w:val="Akapitzlist"/>
        <w:ind w:left="567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E13AD">
        <w:rPr>
          <w:rFonts w:asciiTheme="minorHAnsi" w:hAnsiTheme="minorHAnsi" w:cstheme="minorHAnsi"/>
          <w:b/>
          <w:sz w:val="24"/>
          <w:szCs w:val="24"/>
          <w:lang w:val="pl-PL"/>
        </w:rPr>
        <w:t>przy czym:</w:t>
      </w:r>
    </w:p>
    <w:p w:rsidR="00E4460B" w:rsidRDefault="00CC7CF4" w:rsidP="00BA65FC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</w:pPr>
      <m:oMath>
        <m:sSub>
          <m:sSubPr>
            <m:ctrlPr>
              <w:rPr>
                <w:rFonts w:ascii="Cambria Math" w:hAnsi="Cambria Math" w:cs="Arial Narrow"/>
                <w:b/>
                <w:color w:val="000000" w:themeColor="text1"/>
                <w:spacing w:val="-2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 Narrow"/>
                <w:color w:val="000000" w:themeColor="text1"/>
                <w:spacing w:val="-2"/>
                <w:sz w:val="28"/>
                <w:szCs w:val="28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 w:cs="Arial Narrow"/>
                <w:color w:val="000000" w:themeColor="text1"/>
                <w:spacing w:val="-2"/>
                <w:sz w:val="28"/>
                <w:szCs w:val="28"/>
              </w:rPr>
              <m:t>b</m:t>
            </m:r>
          </m:sub>
        </m:sSub>
      </m:oMath>
      <w:r w:rsidR="00E4460B">
        <w:rPr>
          <w:rFonts w:asciiTheme="minorHAnsi" w:hAnsiTheme="minorHAnsi" w:cstheme="minorHAnsi"/>
          <w:b/>
          <w:color w:val="000000" w:themeColor="text1"/>
          <w:spacing w:val="-2"/>
          <w:sz w:val="28"/>
          <w:szCs w:val="28"/>
        </w:rPr>
        <w:t xml:space="preserve"> </w:t>
      </w:r>
      <w:r w:rsidR="00E4460B" w:rsidRPr="00E4460B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>-</w:t>
      </w:r>
      <w:r w:rsidR="00E4460B">
        <w:rPr>
          <w:rFonts w:asciiTheme="minorHAnsi" w:hAnsiTheme="minorHAnsi" w:cstheme="minorHAnsi"/>
          <w:b/>
          <w:color w:val="000000" w:themeColor="text1"/>
          <w:spacing w:val="-2"/>
          <w:sz w:val="28"/>
          <w:szCs w:val="28"/>
        </w:rPr>
        <w:t xml:space="preserve"> </w:t>
      </w:r>
      <w:r w:rsidR="00E4460B" w:rsidRPr="00E4460B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>średn</w:t>
      </w:r>
      <w:r w:rsidR="00C15B2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>ia arytmetyczna indeksów TGe24 [</w:t>
      </w:r>
      <w:r w:rsidR="00E4460B" w:rsidRPr="00E4460B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TGe24 – średnia arytmetyczna z cen godzinowych danej doby obowiązywania </w:t>
      </w:r>
      <w:r w:rsidR="00D373DE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Umowy </w:t>
      </w:r>
      <w:r w:rsidR="00E4460B" w:rsidRPr="00E4460B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(od 00:00 do 24:00) określonych w ramach </w:t>
      </w:r>
      <w:r w:rsidR="00C15B2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>kursu jednolitego o godz. 10:30]</w:t>
      </w:r>
      <w:r w:rsidR="00E4460B" w:rsidRPr="00E4460B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 </w:t>
      </w:r>
      <w:r w:rsidR="00E4460B" w:rsidRPr="0065375E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>dla danego miesiąca obowiązywania</w:t>
      </w:r>
      <w:r w:rsidR="0065375E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Umowy;</w:t>
      </w:r>
    </w:p>
    <w:p w:rsidR="0065375E" w:rsidRDefault="00CC7CF4" w:rsidP="00BA65FC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</w:pPr>
      <m:oMath>
        <m:sSub>
          <m:sSubPr>
            <m:ctrlPr>
              <w:rPr>
                <w:rFonts w:ascii="Cambria Math" w:hAnsi="Cambria Math" w:cs="Arial Narrow"/>
                <w:b/>
                <w:color w:val="000000" w:themeColor="text1"/>
                <w:spacing w:val="-2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 Narrow"/>
                <w:color w:val="000000" w:themeColor="text1"/>
                <w:spacing w:val="-2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Arial Narrow"/>
                <w:color w:val="000000" w:themeColor="text1"/>
                <w:spacing w:val="-2"/>
                <w:sz w:val="28"/>
                <w:szCs w:val="28"/>
              </w:rPr>
              <m:t>K</m:t>
            </m:r>
          </m:sub>
        </m:sSub>
      </m:oMath>
      <w:r w:rsidR="0065375E">
        <w:rPr>
          <w:rFonts w:asciiTheme="minorHAnsi" w:hAnsiTheme="minorHAnsi" w:cstheme="minorHAnsi"/>
          <w:b/>
          <w:color w:val="000000" w:themeColor="text1"/>
          <w:spacing w:val="-2"/>
          <w:sz w:val="28"/>
          <w:szCs w:val="28"/>
        </w:rPr>
        <w:t xml:space="preserve"> </w:t>
      </w:r>
      <w:r w:rsidR="00E565DB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- </w:t>
      </w:r>
      <w:r w:rsidR="0065375E" w:rsidRPr="0065375E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>współczynnik profilu</w:t>
      </w:r>
      <w:r w:rsidR="00CD3B0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>, który został wskazany przez Wykonawcę w Formularzu Kalkulacji Cenowej stanowiącym Załącznik nr 3 do SWZ i wynosi</w:t>
      </w:r>
      <w:r w:rsidR="00113810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odpowiednio</w:t>
      </w:r>
      <w:r w:rsidR="00CD3B0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: </w:t>
      </w:r>
      <w:r w:rsidR="00CD3B04" w:rsidRPr="00CD3B04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  <w:lang w:val="pl-PL"/>
        </w:rPr>
        <w:t>…………</w:t>
      </w:r>
      <w:r w:rsidR="0065375E" w:rsidRPr="00CD3B0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>;</w:t>
      </w:r>
    </w:p>
    <w:p w:rsidR="00E565DB" w:rsidRPr="00E565DB" w:rsidRDefault="001E3085" w:rsidP="00BA65FC">
      <w:pPr>
        <w:pStyle w:val="Akapitzlist"/>
        <w:ind w:left="567"/>
        <w:jc w:val="both"/>
        <w:rPr>
          <w:rFonts w:asciiTheme="minorHAnsi" w:hAnsiTheme="minorHAnsi" w:cstheme="minorHAnsi"/>
          <w:b/>
          <w:color w:val="000000" w:themeColor="text1"/>
          <w:spacing w:val="-2"/>
          <w:sz w:val="28"/>
          <w:szCs w:val="28"/>
          <w:lang w:val="pl-PL"/>
        </w:rPr>
      </w:pPr>
      <m:oMath>
        <m:r>
          <m:rPr>
            <m:sty m:val="b"/>
          </m:rPr>
          <w:rPr>
            <w:rFonts w:ascii="Cambria Math" w:eastAsia="Times New Roman" w:hAnsi="Cambria Math" w:cs="Arial Narrow"/>
            <w:color w:val="000000" w:themeColor="text1"/>
            <w:spacing w:val="-2"/>
            <w:sz w:val="28"/>
            <w:szCs w:val="28"/>
          </w:rPr>
          <m:t>K</m:t>
        </m:r>
      </m:oMath>
      <w:r w:rsidR="00E565DB">
        <w:rPr>
          <w:rFonts w:asciiTheme="minorHAnsi" w:hAnsiTheme="minorHAnsi" w:cstheme="minorHAnsi"/>
          <w:b/>
          <w:color w:val="000000" w:themeColor="text1"/>
          <w:spacing w:val="-2"/>
          <w:sz w:val="28"/>
          <w:szCs w:val="28"/>
        </w:rPr>
        <w:t xml:space="preserve"> </w:t>
      </w:r>
      <w:r w:rsidR="00E565DB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- </w:t>
      </w:r>
      <w:r w:rsidR="00E565DB" w:rsidRPr="00E565DB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>stały współczynnik kosztowy</w:t>
      </w:r>
      <w:r w:rsidR="00E565DB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, który został wskazany przez Wykonawcę w Formularzu Kalkulacji Cenowej stanowiącym Załącznik nr 3 do SWZ i wynosi odpowiednio: </w:t>
      </w:r>
      <w:r w:rsidR="00E565DB" w:rsidRPr="00CD3B04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  <w:lang w:val="pl-PL"/>
        </w:rPr>
        <w:t>…………</w:t>
      </w:r>
      <w:r w:rsidR="00E565DB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  <w:lang w:val="pl-PL"/>
        </w:rPr>
        <w:t xml:space="preserve"> zł/MWh</w:t>
      </w:r>
      <w:r w:rsidR="00545879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>.</w:t>
      </w:r>
    </w:p>
    <w:p w:rsidR="00113810" w:rsidRPr="00CD3B04" w:rsidRDefault="00113810" w:rsidP="00CD3B04">
      <w:pPr>
        <w:pStyle w:val="Akapitzlist"/>
        <w:ind w:left="786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</w:pPr>
    </w:p>
    <w:p w:rsidR="00E877EC" w:rsidRDefault="00E877EC" w:rsidP="00BA65FC">
      <w:pPr>
        <w:pStyle w:val="Akapitzlist"/>
        <w:numPr>
          <w:ilvl w:val="0"/>
          <w:numId w:val="23"/>
        </w:numPr>
        <w:overflowPunct w:val="0"/>
        <w:spacing w:line="276" w:lineRule="auto"/>
        <w:ind w:left="567" w:hanging="283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877EC">
        <w:rPr>
          <w:rFonts w:asciiTheme="minorHAnsi" w:hAnsiTheme="minorHAnsi" w:cstheme="minorHAnsi"/>
          <w:bCs/>
          <w:sz w:val="24"/>
          <w:szCs w:val="24"/>
          <w:lang w:val="pl-PL"/>
        </w:rPr>
        <w:t>Do oferowanych cen i stawek opłat zostanie naliczony podatek VAT w wysokości określonej w przepisach o podatku od towarów i usług, aktualnych na dzień wystawienia faktury.</w:t>
      </w:r>
    </w:p>
    <w:p w:rsidR="00E877EC" w:rsidRPr="00E877EC" w:rsidRDefault="00E877EC" w:rsidP="00BA65FC">
      <w:pPr>
        <w:pStyle w:val="Akapitzlist"/>
        <w:numPr>
          <w:ilvl w:val="0"/>
          <w:numId w:val="23"/>
        </w:numPr>
        <w:overflowPunct w:val="0"/>
        <w:spacing w:line="276" w:lineRule="auto"/>
        <w:ind w:left="567" w:hanging="283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877EC">
        <w:rPr>
          <w:rFonts w:asciiTheme="minorHAnsi" w:hAnsiTheme="minorHAnsi" w:cstheme="minorHAnsi"/>
          <w:bCs/>
          <w:sz w:val="24"/>
          <w:szCs w:val="24"/>
          <w:lang w:val="pl-PL"/>
        </w:rPr>
        <w:t>Cena energii elektrycznej, w przypadku sprzedaży energii elektrycznej nabywcy końcowemu, uwzględnia podatek akcyzowy. Nabywca końcowy zgodnie z Ustawą o podatku Akcyzowym to podmiot nabywający energię elektryczną, nieposiadający koncesji na wytwarzanie, magazynowanie, przesyłanie, dystrybucję lub obrót energią elektryczną w rozumieniu przepisów ustawy Prawo energetyczne.</w:t>
      </w:r>
    </w:p>
    <w:p w:rsidR="00E877EC" w:rsidRPr="007F494E" w:rsidRDefault="00E877EC" w:rsidP="00BA65FC">
      <w:pPr>
        <w:pStyle w:val="Akapitzlist"/>
        <w:numPr>
          <w:ilvl w:val="0"/>
          <w:numId w:val="23"/>
        </w:numPr>
        <w:overflowPunct w:val="0"/>
        <w:spacing w:line="276" w:lineRule="auto"/>
        <w:ind w:left="567" w:hanging="283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7F494E">
        <w:rPr>
          <w:rFonts w:asciiTheme="minorHAnsi" w:hAnsiTheme="minorHAnsi" w:cstheme="minorHAnsi"/>
          <w:sz w:val="24"/>
          <w:szCs w:val="24"/>
          <w:lang w:val="pl-PL"/>
        </w:rPr>
        <w:t xml:space="preserve">Ceny określone w </w:t>
      </w:r>
      <w:r>
        <w:rPr>
          <w:rFonts w:asciiTheme="minorHAnsi" w:hAnsiTheme="minorHAnsi" w:cstheme="minorHAnsi"/>
          <w:sz w:val="24"/>
          <w:szCs w:val="24"/>
          <w:lang w:val="pl-PL"/>
        </w:rPr>
        <w:t>niniejszym rozdziale</w:t>
      </w:r>
      <w:r w:rsidRPr="007F494E">
        <w:rPr>
          <w:rFonts w:asciiTheme="minorHAnsi" w:hAnsiTheme="minorHAnsi" w:cstheme="minorHAnsi"/>
          <w:sz w:val="24"/>
          <w:szCs w:val="24"/>
          <w:lang w:val="pl-PL"/>
        </w:rPr>
        <w:t xml:space="preserve"> obowiązują także dla nowo przyłączonych obiektów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Pr="007F494E">
        <w:rPr>
          <w:rFonts w:asciiTheme="minorHAnsi" w:hAnsiTheme="minorHAnsi" w:cstheme="minorHAnsi"/>
          <w:sz w:val="24"/>
          <w:szCs w:val="24"/>
          <w:lang w:val="pl-PL"/>
        </w:rPr>
        <w:t>do sieci elektroenergetycznej OSD.</w:t>
      </w:r>
    </w:p>
    <w:p w:rsidR="00E877EC" w:rsidRPr="0047685D" w:rsidRDefault="00E877EC" w:rsidP="00BA65FC">
      <w:pPr>
        <w:pStyle w:val="Akapitzlist"/>
        <w:numPr>
          <w:ilvl w:val="0"/>
          <w:numId w:val="23"/>
        </w:numPr>
        <w:overflowPunct w:val="0"/>
        <w:spacing w:line="276" w:lineRule="auto"/>
        <w:ind w:left="567" w:hanging="283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96490">
        <w:rPr>
          <w:rFonts w:asciiTheme="minorHAnsi" w:hAnsiTheme="minorHAnsi" w:cstheme="minorHAnsi"/>
          <w:sz w:val="24"/>
          <w:szCs w:val="24"/>
          <w:lang w:val="pl-PL"/>
        </w:rPr>
        <w:lastRenderedPageBreak/>
        <w:t>W przypadku pobrania większej lub mniejszej ilości energii elektrycznej Zamawiający zobowiązany będzie do zapłaty za faktycznie zużytą ilość energii wg cen określonych w dokumentacji przetargowej oraz niniejszej umowie.</w:t>
      </w:r>
    </w:p>
    <w:p w:rsidR="00E877EC" w:rsidRDefault="00644299" w:rsidP="00BA65FC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44299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Pr="00644299">
        <w:rPr>
          <w:rFonts w:asciiTheme="minorHAnsi" w:hAnsiTheme="minorHAnsi" w:cstheme="minorHAnsi"/>
          <w:sz w:val="24"/>
          <w:szCs w:val="24"/>
          <w:lang w:val="pl-PL"/>
        </w:rPr>
        <w:t xml:space="preserve"> spełnia warunki przewidziane ustawą z dnia 27 października 2022 roku o środkach nadzwyczajnych mających na celu ograniczenie wysokości cen energii elektrycznej oraz wsparciu niektórych odbiorców 2023 roku w rozliczeniach z </w:t>
      </w:r>
      <w:r>
        <w:rPr>
          <w:rFonts w:asciiTheme="minorHAnsi" w:hAnsiTheme="minorHAnsi" w:cstheme="minorHAnsi"/>
          <w:sz w:val="24"/>
          <w:szCs w:val="24"/>
          <w:lang w:val="pl-PL"/>
        </w:rPr>
        <w:t>Zamawiającym</w:t>
      </w:r>
      <w:r w:rsidRPr="00644299">
        <w:rPr>
          <w:rFonts w:asciiTheme="minorHAnsi" w:hAnsiTheme="minorHAnsi" w:cstheme="minorHAnsi"/>
          <w:sz w:val="24"/>
          <w:szCs w:val="24"/>
          <w:lang w:val="pl-PL"/>
        </w:rPr>
        <w:t>, w okresie objętym tą ustawą, stosowana jest cena maksymalna w wysokości 785 zł/MWh niezawierająca podatku VAT i podatku akcyzowego.</w:t>
      </w:r>
    </w:p>
    <w:p w:rsidR="00FB0D08" w:rsidRDefault="00FB0D08" w:rsidP="00644299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644299" w:rsidRDefault="00AB2175" w:rsidP="00BA65F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Postanowienia w zakresie rozliczenia.</w:t>
      </w:r>
    </w:p>
    <w:p w:rsidR="00AB2175" w:rsidRPr="00AB2175" w:rsidRDefault="00AB2175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2175">
        <w:rPr>
          <w:rFonts w:asciiTheme="minorHAnsi" w:hAnsiTheme="minorHAnsi" w:cstheme="minorHAnsi"/>
          <w:sz w:val="24"/>
          <w:szCs w:val="24"/>
          <w:lang w:val="pl-PL"/>
        </w:rPr>
        <w:t>Rozliczenia za pobraną energię elektryczną odbywać się będą na podstawie danych pomiarowo-rozliczeniowych przekazywanych Wykonawcy przez OSD.</w:t>
      </w:r>
    </w:p>
    <w:p w:rsidR="002460FA" w:rsidRDefault="00AB2175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2175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>
        <w:rPr>
          <w:rFonts w:asciiTheme="minorHAnsi" w:hAnsiTheme="minorHAnsi" w:cstheme="minorHAnsi"/>
          <w:sz w:val="24"/>
          <w:szCs w:val="24"/>
          <w:lang w:val="pl-PL"/>
        </w:rPr>
        <w:t>wystawia</w:t>
      </w:r>
      <w:r w:rsidRPr="00AB2175">
        <w:rPr>
          <w:rFonts w:asciiTheme="minorHAnsi" w:hAnsiTheme="minorHAnsi" w:cstheme="minorHAnsi"/>
          <w:sz w:val="24"/>
          <w:szCs w:val="24"/>
          <w:lang w:val="pl-PL"/>
        </w:rPr>
        <w:t xml:space="preserve"> faktur</w:t>
      </w:r>
      <w:r>
        <w:rPr>
          <w:rFonts w:asciiTheme="minorHAnsi" w:hAnsiTheme="minorHAnsi" w:cstheme="minorHAnsi"/>
          <w:sz w:val="24"/>
          <w:szCs w:val="24"/>
          <w:lang w:val="pl-PL"/>
        </w:rPr>
        <w:t>y VAT obejmujące</w:t>
      </w:r>
      <w:r w:rsidRPr="00AB2175">
        <w:rPr>
          <w:rFonts w:asciiTheme="minorHAnsi" w:hAnsiTheme="minorHAnsi" w:cstheme="minorHAnsi"/>
          <w:sz w:val="24"/>
          <w:szCs w:val="24"/>
          <w:lang w:val="pl-PL"/>
        </w:rPr>
        <w:t xml:space="preserve"> należności za dany okres rozliczeniowy w terminie do 14 dni od daty otrzymania danych pomiarowych - rozliczeniowych Zamawiającego od OSD.</w:t>
      </w:r>
    </w:p>
    <w:p w:rsidR="00AB2175" w:rsidRDefault="002460FA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460FA">
        <w:rPr>
          <w:rFonts w:asciiTheme="minorHAnsi" w:hAnsiTheme="minorHAnsi" w:cstheme="minorHAnsi"/>
          <w:sz w:val="24"/>
          <w:szCs w:val="24"/>
          <w:lang w:val="pl-PL"/>
        </w:rPr>
        <w:t>Należności za energię elektryczną regulowane będą na podstawie faktur VAT wystawianych przez Wykonawcę zgodnie z Załącznikiem nr 1 do Umowy stanowiącym szczegółowy podział odbiorów energii elektrycznej Zamawiającego.</w:t>
      </w:r>
      <w:r w:rsidR="00C52DB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2D1192" w:rsidRPr="002D1192" w:rsidRDefault="002D1192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2175">
        <w:rPr>
          <w:rFonts w:asciiTheme="minorHAnsi" w:hAnsiTheme="minorHAnsi" w:cstheme="minorHAnsi"/>
          <w:sz w:val="24"/>
          <w:szCs w:val="24"/>
          <w:lang w:val="pl-PL"/>
        </w:rPr>
        <w:t>W przypadku nie dotrzymania terminu płatności Wykonawca może obciążyć Zamawiającego odsetkami ustawowymi.</w:t>
      </w:r>
    </w:p>
    <w:p w:rsidR="00AB2175" w:rsidRPr="00AB2175" w:rsidRDefault="00AB2175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2175">
        <w:rPr>
          <w:rFonts w:asciiTheme="minorHAnsi" w:hAnsiTheme="minorHAnsi" w:cstheme="minorHAnsi"/>
          <w:sz w:val="24"/>
          <w:szCs w:val="24"/>
          <w:lang w:val="pl-PL"/>
        </w:rPr>
        <w:t xml:space="preserve">Należność Wykonawcy za sprzedaną energię elektryczną w okresach rozliczeniowych obliczana będzie indywidualnie dla punktu poboru jako iloczyn ilości sprzedanej energii elektrycznej ustalonej na podstawie danych pomiarowo - rozliczeniowych przekazywanych Wykonawcy przez OSD i cen jednostkowych energii elektrycznej określonych w </w:t>
      </w:r>
      <w:r w:rsidR="00792987">
        <w:rPr>
          <w:rFonts w:asciiTheme="minorHAnsi" w:hAnsiTheme="minorHAnsi" w:cstheme="minorHAnsi"/>
          <w:sz w:val="24"/>
          <w:szCs w:val="24"/>
          <w:lang w:val="pl-PL"/>
        </w:rPr>
        <w:t>rozdziale III istotnych postanowień</w:t>
      </w:r>
      <w:r w:rsidRPr="00AB2175">
        <w:rPr>
          <w:rFonts w:asciiTheme="minorHAnsi" w:hAnsiTheme="minorHAnsi" w:cstheme="minorHAnsi"/>
          <w:sz w:val="24"/>
          <w:szCs w:val="24"/>
          <w:lang w:val="pl-PL"/>
        </w:rPr>
        <w:t xml:space="preserve"> Umowy. Do wyliczonej należności Wykonawca doliczy podatek VAT według obowiązującej stawki.</w:t>
      </w:r>
    </w:p>
    <w:p w:rsidR="00AB2175" w:rsidRPr="00AB2175" w:rsidRDefault="00AB2175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2175">
        <w:rPr>
          <w:rFonts w:asciiTheme="minorHAnsi" w:hAnsiTheme="minorHAnsi" w:cstheme="minorHAnsi"/>
          <w:sz w:val="24"/>
          <w:szCs w:val="24"/>
          <w:lang w:val="pl-PL"/>
        </w:rPr>
        <w:t xml:space="preserve">Należności wynikające z faktur VAT będą płatne w terminie </w:t>
      </w:r>
      <w:r w:rsidR="000B40F1">
        <w:rPr>
          <w:rFonts w:asciiTheme="minorHAnsi" w:hAnsiTheme="minorHAnsi" w:cstheme="minorHAnsi"/>
          <w:sz w:val="24"/>
          <w:szCs w:val="24"/>
          <w:lang w:val="pl-PL"/>
        </w:rPr>
        <w:t>14</w:t>
      </w:r>
      <w:r w:rsidRPr="00AB2175">
        <w:rPr>
          <w:rFonts w:asciiTheme="minorHAnsi" w:hAnsiTheme="minorHAnsi" w:cstheme="minorHAnsi"/>
          <w:sz w:val="24"/>
          <w:szCs w:val="24"/>
          <w:lang w:val="pl-PL"/>
        </w:rPr>
        <w:t xml:space="preserve"> dni od daty otrzymania prawidłowo wystawionej faktury na konto wskazane na fakturze. Za dzień zapłaty uznaje się datę </w:t>
      </w:r>
      <w:r w:rsidR="000B40F1">
        <w:rPr>
          <w:rFonts w:asciiTheme="minorHAnsi" w:hAnsiTheme="minorHAnsi" w:cstheme="minorHAnsi"/>
          <w:sz w:val="24"/>
          <w:szCs w:val="24"/>
          <w:lang w:val="pl-PL"/>
        </w:rPr>
        <w:t>uznania</w:t>
      </w:r>
      <w:r w:rsidRPr="00AB2175">
        <w:rPr>
          <w:rFonts w:asciiTheme="minorHAnsi" w:hAnsiTheme="minorHAnsi" w:cstheme="minorHAnsi"/>
          <w:sz w:val="24"/>
          <w:szCs w:val="24"/>
          <w:lang w:val="pl-PL"/>
        </w:rPr>
        <w:t xml:space="preserve"> rachunku </w:t>
      </w:r>
      <w:r w:rsidR="000B40F1">
        <w:rPr>
          <w:rFonts w:asciiTheme="minorHAnsi" w:hAnsiTheme="minorHAnsi" w:cstheme="minorHAnsi"/>
          <w:sz w:val="24"/>
          <w:szCs w:val="24"/>
          <w:lang w:val="pl-PL"/>
        </w:rPr>
        <w:t>bankowego Wykonawcy</w:t>
      </w:r>
      <w:r w:rsidRPr="00AB217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B2175" w:rsidRPr="00AB2175" w:rsidRDefault="00AB2175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2175">
        <w:rPr>
          <w:rFonts w:asciiTheme="minorHAnsi" w:hAnsiTheme="minorHAnsi" w:cstheme="minorHAnsi"/>
          <w:sz w:val="24"/>
          <w:szCs w:val="24"/>
          <w:lang w:val="pl-PL"/>
        </w:rPr>
        <w:t>Do każdej faktury Wykonawca załączy i prześle specyfikację określającą ilości energii elektrycznej pobranej w poszczególnych punktach poboru oraz wysokości należności z tego tytułu dla każdego punktu poboru oddzi</w:t>
      </w:r>
      <w:r w:rsidR="000F1EDF">
        <w:rPr>
          <w:rFonts w:asciiTheme="minorHAnsi" w:hAnsiTheme="minorHAnsi" w:cstheme="minorHAnsi"/>
          <w:sz w:val="24"/>
          <w:szCs w:val="24"/>
          <w:lang w:val="pl-PL"/>
        </w:rPr>
        <w:t>elnie, o ile dokument „faktura”</w:t>
      </w:r>
      <w:bookmarkStart w:id="0" w:name="_GoBack"/>
      <w:bookmarkEnd w:id="0"/>
      <w:r w:rsidRPr="00AB2175">
        <w:rPr>
          <w:rFonts w:asciiTheme="minorHAnsi" w:hAnsiTheme="minorHAnsi" w:cstheme="minorHAnsi"/>
          <w:sz w:val="24"/>
          <w:szCs w:val="24"/>
          <w:lang w:val="pl-PL"/>
        </w:rPr>
        <w:t xml:space="preserve"> nie posiada tych informacji.</w:t>
      </w:r>
    </w:p>
    <w:p w:rsidR="00AB2175" w:rsidRDefault="000B40F1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B40F1">
        <w:rPr>
          <w:rFonts w:asciiTheme="minorHAnsi" w:hAnsiTheme="minorHAnsi" w:cstheme="minorHAnsi"/>
          <w:sz w:val="24"/>
          <w:szCs w:val="24"/>
          <w:lang w:val="pl-PL"/>
        </w:rPr>
        <w:t>Zamawiającemu (Odbiorcy/Nabywcy), w przypadku wątpliwości co do prawidłowoś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ci </w:t>
      </w:r>
      <w:r w:rsidRPr="000B40F1">
        <w:rPr>
          <w:rFonts w:asciiTheme="minorHAnsi" w:hAnsiTheme="minorHAnsi" w:cstheme="minorHAnsi"/>
          <w:sz w:val="24"/>
          <w:szCs w:val="24"/>
          <w:lang w:val="pl-PL"/>
        </w:rPr>
        <w:t>wystawionej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B40F1">
        <w:rPr>
          <w:rFonts w:asciiTheme="minorHAnsi" w:hAnsiTheme="minorHAnsi" w:cstheme="minorHAnsi"/>
          <w:sz w:val="24"/>
          <w:szCs w:val="24"/>
          <w:lang w:val="pl-PL"/>
        </w:rPr>
        <w:t>faktury, przysługuje prawo do wniesienia pisemnej reklamacji, którą Wykonawca ma obowiązek rozpatrzyć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B40F1">
        <w:rPr>
          <w:rFonts w:asciiTheme="minorHAnsi" w:hAnsiTheme="minorHAnsi" w:cstheme="minorHAnsi"/>
          <w:sz w:val="24"/>
          <w:szCs w:val="24"/>
          <w:lang w:val="pl-PL"/>
        </w:rPr>
        <w:t>w terminie do 14 dni od daty jej doręczenia.</w:t>
      </w:r>
    </w:p>
    <w:p w:rsidR="000B40F1" w:rsidRDefault="002D1192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1192">
        <w:rPr>
          <w:rFonts w:asciiTheme="minorHAnsi" w:hAnsiTheme="minorHAnsi" w:cstheme="minorHAnsi"/>
          <w:sz w:val="24"/>
          <w:szCs w:val="24"/>
          <w:lang w:val="pl-PL"/>
        </w:rPr>
        <w:t>W przypadku uwzględnienia reklamacji, Wykonawca niezwłocznie wystawi i dostarczy (adres jak dla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1192">
        <w:rPr>
          <w:rFonts w:asciiTheme="minorHAnsi" w:hAnsiTheme="minorHAnsi" w:cstheme="minorHAnsi"/>
          <w:sz w:val="24"/>
          <w:szCs w:val="24"/>
          <w:lang w:val="pl-PL"/>
        </w:rPr>
        <w:t>faktury) faktur</w:t>
      </w:r>
      <w:r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2D1192">
        <w:rPr>
          <w:rFonts w:asciiTheme="minorHAnsi" w:hAnsiTheme="minorHAnsi" w:cstheme="minorHAnsi"/>
          <w:sz w:val="24"/>
          <w:szCs w:val="24"/>
          <w:lang w:val="pl-PL"/>
        </w:rPr>
        <w:t xml:space="preserve"> korygującą. W przy</w:t>
      </w:r>
      <w:r>
        <w:rPr>
          <w:rFonts w:asciiTheme="minorHAnsi" w:hAnsiTheme="minorHAnsi" w:cstheme="minorHAnsi"/>
          <w:sz w:val="24"/>
          <w:szCs w:val="24"/>
          <w:lang w:val="pl-PL"/>
        </w:rPr>
        <w:t>padku powstania (</w:t>
      </w:r>
      <w:r w:rsidRPr="002D1192">
        <w:rPr>
          <w:rFonts w:asciiTheme="minorHAnsi" w:hAnsiTheme="minorHAnsi" w:cstheme="minorHAnsi"/>
          <w:sz w:val="24"/>
          <w:szCs w:val="24"/>
          <w:lang w:val="pl-PL"/>
        </w:rPr>
        <w:t>w w</w:t>
      </w:r>
      <w:r>
        <w:rPr>
          <w:rFonts w:asciiTheme="minorHAnsi" w:hAnsiTheme="minorHAnsi" w:cstheme="minorHAnsi"/>
          <w:sz w:val="24"/>
          <w:szCs w:val="24"/>
          <w:lang w:val="pl-PL"/>
        </w:rPr>
        <w:t>yniku uwzględnienia reklamacji)</w:t>
      </w:r>
      <w:r w:rsidRPr="002D1192">
        <w:rPr>
          <w:rFonts w:asciiTheme="minorHAnsi" w:hAnsiTheme="minorHAnsi" w:cstheme="minorHAnsi"/>
          <w:sz w:val="24"/>
          <w:szCs w:val="24"/>
          <w:lang w:val="pl-PL"/>
        </w:rPr>
        <w:t xml:space="preserve"> nadpłaty, powstałą nadpłatę Wykonawca zwróci na wskazany rachunek bankowy w terminie 10 dni kalendarzowych zgodnie z pisemnym </w:t>
      </w:r>
      <w:r w:rsidRPr="002D1192">
        <w:rPr>
          <w:rFonts w:asciiTheme="minorHAnsi" w:hAnsiTheme="minorHAnsi" w:cstheme="minorHAnsi"/>
          <w:sz w:val="24"/>
          <w:szCs w:val="24"/>
          <w:lang w:val="pl-PL"/>
        </w:rPr>
        <w:lastRenderedPageBreak/>
        <w:t>żądaniem Zamawiającego (Odbiorcy/Nabywcy) lub, jeżeli Zamawiający (Odbiorca/Nabywca) nie wystąpi z takim żądaniem, zaliczy na poczet przyszłych zobowiązań.</w:t>
      </w:r>
    </w:p>
    <w:p w:rsidR="006E07A8" w:rsidRDefault="006E07A8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E07A8">
        <w:rPr>
          <w:rFonts w:asciiTheme="minorHAnsi" w:hAnsiTheme="minorHAnsi" w:cstheme="minorHAnsi"/>
          <w:sz w:val="24"/>
          <w:szCs w:val="24"/>
          <w:lang w:val="pl-PL"/>
        </w:rPr>
        <w:t>Wniesienie przez Zamawiającego lub Odbiorcę /Nabywcę reklamac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ji do Wykonawcy nie zwalnia go z </w:t>
      </w:r>
      <w:r w:rsidRPr="006E07A8">
        <w:rPr>
          <w:rFonts w:asciiTheme="minorHAnsi" w:hAnsiTheme="minorHAnsi" w:cstheme="minorHAnsi"/>
          <w:sz w:val="24"/>
          <w:szCs w:val="24"/>
          <w:lang w:val="pl-PL"/>
        </w:rPr>
        <w:t>obowiązku terminowej zapłaty należności w wysokości określonej na fakturze, chyba że:</w:t>
      </w:r>
    </w:p>
    <w:p w:rsidR="006E07A8" w:rsidRDefault="006E07A8" w:rsidP="00BA65FC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E07A8">
        <w:rPr>
          <w:rFonts w:asciiTheme="minorHAnsi" w:hAnsiTheme="minorHAnsi" w:cstheme="minorHAnsi"/>
          <w:sz w:val="24"/>
          <w:szCs w:val="24"/>
          <w:lang w:val="pl-PL"/>
        </w:rPr>
        <w:t>na fakturze uwzględniono punkty poboru nie należące do Zamawiającego /Nabywcy /Odbiorcy i /lub nie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E07A8">
        <w:rPr>
          <w:rFonts w:asciiTheme="minorHAnsi" w:hAnsiTheme="minorHAnsi" w:cstheme="minorHAnsi"/>
          <w:sz w:val="24"/>
          <w:szCs w:val="24"/>
          <w:lang w:val="pl-PL"/>
        </w:rPr>
        <w:t>objęte niniejsza umową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:rsidR="006E07A8" w:rsidRDefault="006E07A8" w:rsidP="00BA65FC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E07A8">
        <w:rPr>
          <w:rFonts w:asciiTheme="minorHAnsi" w:hAnsiTheme="minorHAnsi" w:cstheme="minorHAnsi"/>
          <w:sz w:val="24"/>
          <w:szCs w:val="24"/>
          <w:lang w:val="pl-PL"/>
        </w:rPr>
        <w:t>uwzględnione na fakturze stawki za energię elektryczną są niezgodne ze stawkami zawartymi 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E07A8">
        <w:rPr>
          <w:rFonts w:asciiTheme="minorHAnsi" w:hAnsiTheme="minorHAnsi" w:cstheme="minorHAnsi"/>
          <w:sz w:val="24"/>
          <w:szCs w:val="24"/>
          <w:lang w:val="pl-PL"/>
        </w:rPr>
        <w:t xml:space="preserve">Formularzu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Kalkulacji Cenowej </w:t>
      </w:r>
      <w:r w:rsidRPr="006E07A8">
        <w:rPr>
          <w:rFonts w:asciiTheme="minorHAnsi" w:hAnsiTheme="minorHAnsi" w:cstheme="minorHAnsi"/>
          <w:sz w:val="24"/>
          <w:szCs w:val="24"/>
          <w:lang w:val="pl-PL"/>
        </w:rPr>
        <w:t>Wykonawcy lub zawierają dodatkowe n</w:t>
      </w:r>
      <w:r>
        <w:rPr>
          <w:rFonts w:asciiTheme="minorHAnsi" w:hAnsiTheme="minorHAnsi" w:cstheme="minorHAnsi"/>
          <w:sz w:val="24"/>
          <w:szCs w:val="24"/>
          <w:lang w:val="pl-PL"/>
        </w:rPr>
        <w:t>ie uwzględnione w Umowie opłaty;</w:t>
      </w:r>
    </w:p>
    <w:p w:rsidR="006E07A8" w:rsidRDefault="006E07A8" w:rsidP="00BA65FC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E07A8">
        <w:rPr>
          <w:rFonts w:asciiTheme="minorHAnsi" w:hAnsiTheme="minorHAnsi" w:cstheme="minorHAnsi"/>
          <w:sz w:val="24"/>
          <w:szCs w:val="24"/>
          <w:lang w:val="pl-PL"/>
        </w:rPr>
        <w:t>fakturą objęto okres rozliczeniowy wykraczający poza okres dost</w:t>
      </w:r>
      <w:r>
        <w:rPr>
          <w:rFonts w:asciiTheme="minorHAnsi" w:hAnsiTheme="minorHAnsi" w:cstheme="minorHAnsi"/>
          <w:sz w:val="24"/>
          <w:szCs w:val="24"/>
          <w:lang w:val="pl-PL"/>
        </w:rPr>
        <w:t>aw przewidziany niniejszą umową.</w:t>
      </w:r>
    </w:p>
    <w:p w:rsidR="006E07A8" w:rsidRDefault="00DA0AA4" w:rsidP="00BA65FC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Pr="00DA0AA4">
        <w:rPr>
          <w:rFonts w:asciiTheme="minorHAnsi" w:hAnsiTheme="minorHAnsi" w:cstheme="minorHAnsi"/>
          <w:sz w:val="24"/>
          <w:szCs w:val="24"/>
          <w:lang w:val="pl-PL"/>
        </w:rPr>
        <w:t>przypadku stwierdzenia na fakturze zużyć rażąco odbiegających od zużyć dotychczasowych (co najmniej o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A0AA4">
        <w:rPr>
          <w:rFonts w:asciiTheme="minorHAnsi" w:hAnsiTheme="minorHAnsi" w:cstheme="minorHAnsi"/>
          <w:sz w:val="24"/>
          <w:szCs w:val="24"/>
          <w:lang w:val="pl-PL"/>
        </w:rPr>
        <w:t xml:space="preserve">30%), jeśli Zamawiając (Nabywca /Odbiorca) w terminie nie późniejszym niż </w:t>
      </w:r>
      <w:r w:rsidR="0069587B">
        <w:rPr>
          <w:rFonts w:asciiTheme="minorHAnsi" w:hAnsiTheme="minorHAnsi" w:cstheme="minorHAnsi"/>
          <w:sz w:val="24"/>
          <w:szCs w:val="24"/>
          <w:lang w:val="pl-PL"/>
        </w:rPr>
        <w:t>14</w:t>
      </w:r>
      <w:r w:rsidRPr="00DA0AA4">
        <w:rPr>
          <w:rFonts w:asciiTheme="minorHAnsi" w:hAnsiTheme="minorHAnsi" w:cstheme="minorHAnsi"/>
          <w:sz w:val="24"/>
          <w:szCs w:val="24"/>
          <w:lang w:val="pl-PL"/>
        </w:rPr>
        <w:t xml:space="preserve"> dni roboczych od daty wpływu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A0AA4">
        <w:rPr>
          <w:rFonts w:asciiTheme="minorHAnsi" w:hAnsiTheme="minorHAnsi" w:cstheme="minorHAnsi"/>
          <w:sz w:val="24"/>
          <w:szCs w:val="24"/>
          <w:lang w:val="pl-PL"/>
        </w:rPr>
        <w:t>faktury wniesie reklamacje do OSD i Wykonawcy, w przypadku nie rozstrzygnięcia reklamacji do dnia upływu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A0AA4">
        <w:rPr>
          <w:rFonts w:asciiTheme="minorHAnsi" w:hAnsiTheme="minorHAnsi" w:cstheme="minorHAnsi"/>
          <w:sz w:val="24"/>
          <w:szCs w:val="24"/>
          <w:lang w:val="pl-PL"/>
        </w:rPr>
        <w:t>terminu płatności faktury, Zamawiając (Nabywca faktury/Odbiorca faktury) dokona płatności za energie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A0AA4">
        <w:rPr>
          <w:rFonts w:asciiTheme="minorHAnsi" w:hAnsiTheme="minorHAnsi" w:cstheme="minorHAnsi"/>
          <w:sz w:val="24"/>
          <w:szCs w:val="24"/>
          <w:lang w:val="pl-PL"/>
        </w:rPr>
        <w:t>elektryczną w oparciu o średnie zużycie za ostatnie 3 okresy rozliczeniowe. W przypadku stwierdzenia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A0AA4">
        <w:rPr>
          <w:rFonts w:asciiTheme="minorHAnsi" w:hAnsiTheme="minorHAnsi" w:cstheme="minorHAnsi"/>
          <w:sz w:val="24"/>
          <w:szCs w:val="24"/>
          <w:lang w:val="pl-PL"/>
        </w:rPr>
        <w:t>niedopłaty po rozstrzygnięciu reklamacji, Zamawiający (Nabywca faktury/Odbiorca faktury) niezwłocznie (w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A0AA4">
        <w:rPr>
          <w:rFonts w:asciiTheme="minorHAnsi" w:hAnsiTheme="minorHAnsi" w:cstheme="minorHAnsi"/>
          <w:sz w:val="24"/>
          <w:szCs w:val="24"/>
          <w:lang w:val="pl-PL"/>
        </w:rPr>
        <w:t>terminie nie dłuższym niż 3 dni robocze) dokona dopłaty należnej kwoty na rachunek Wykonawcy.</w:t>
      </w:r>
    </w:p>
    <w:p w:rsidR="00DA0AA4" w:rsidRPr="00DA0AA4" w:rsidRDefault="00DA0AA4" w:rsidP="00DA0AA4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40174F" w:rsidRDefault="0040174F" w:rsidP="004D2B2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0174F">
        <w:rPr>
          <w:rFonts w:asciiTheme="minorHAnsi" w:hAnsiTheme="minorHAnsi" w:cstheme="minorHAnsi"/>
          <w:b/>
          <w:sz w:val="24"/>
          <w:szCs w:val="24"/>
          <w:lang w:val="pl-PL"/>
        </w:rPr>
        <w:t>Postanowienia w zakresie okresu obowiązywania Umowy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:rsidR="0040174F" w:rsidRPr="0069587B" w:rsidRDefault="004D2B2F" w:rsidP="004D2B2F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D2B2F">
        <w:rPr>
          <w:rFonts w:asciiTheme="minorHAnsi" w:hAnsiTheme="minorHAnsi" w:cstheme="minorHAnsi"/>
          <w:sz w:val="24"/>
          <w:szCs w:val="24"/>
          <w:lang w:val="pl-PL"/>
        </w:rPr>
        <w:t xml:space="preserve">Umowa zawarta zostaje na czas określony od dnia 01.01.2023 r. </w:t>
      </w:r>
      <w:r w:rsidRPr="004D2B2F">
        <w:rPr>
          <w:rFonts w:asciiTheme="minorHAnsi" w:hAnsiTheme="minorHAnsi" w:cstheme="minorHAnsi"/>
          <w:sz w:val="24"/>
          <w:szCs w:val="24"/>
          <w:lang w:val="pl-PL"/>
        </w:rPr>
        <w:br/>
        <w:t>do dnia 31.12.2023 r.,</w:t>
      </w:r>
      <w:r w:rsidRPr="004D2B2F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jednakże wchodzi w życie w zakresie </w:t>
      </w:r>
      <w:r w:rsidR="00E6354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każdego </w:t>
      </w:r>
      <w:r w:rsidRPr="004D2B2F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punktu poboru energii elektrycznej opisanego w Załączniku nr 1 do Umowy </w:t>
      </w:r>
      <w:r w:rsidR="00E6354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nie wcześniej niż </w:t>
      </w:r>
      <w:r w:rsidRPr="004D2B2F">
        <w:rPr>
          <w:rFonts w:asciiTheme="minorHAnsi" w:hAnsiTheme="minorHAnsi" w:cstheme="minorHAnsi"/>
          <w:iCs/>
          <w:sz w:val="24"/>
          <w:szCs w:val="24"/>
          <w:lang w:val="pl-PL"/>
        </w:rPr>
        <w:t>z dniem wskazanym w kolumnie „Okres dostaw”</w:t>
      </w:r>
      <w:r w:rsidR="00E6354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oraz</w:t>
      </w:r>
      <w:r w:rsidRPr="004D2B2F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po uprzednim skutecznym rozwiązaniu </w:t>
      </w:r>
      <w:r w:rsidR="0040174F" w:rsidRPr="00324024">
        <w:rPr>
          <w:rFonts w:asciiTheme="minorHAnsi" w:hAnsiTheme="minorHAnsi" w:cstheme="minorHAnsi"/>
          <w:iCs/>
          <w:sz w:val="24"/>
          <w:szCs w:val="24"/>
          <w:lang w:val="pl-PL"/>
        </w:rPr>
        <w:t>dotychczasowych umów sprzedaży energii elektrycznej</w:t>
      </w:r>
      <w:r w:rsidR="00324024" w:rsidRPr="00324024">
        <w:rPr>
          <w:rFonts w:asciiTheme="minorHAnsi" w:hAnsiTheme="minorHAnsi" w:cstheme="minorHAnsi"/>
          <w:iCs/>
          <w:sz w:val="24"/>
          <w:szCs w:val="24"/>
          <w:lang w:val="pl-PL"/>
        </w:rPr>
        <w:t>, umów kompleksowych lub</w:t>
      </w:r>
      <w:r w:rsidR="0040174F" w:rsidRPr="0032402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="00324024" w:rsidRPr="0032402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umów sprzedaży rezerwowej energii elektrycznej </w:t>
      </w:r>
      <w:r w:rsidR="0040174F" w:rsidRPr="00324024">
        <w:rPr>
          <w:rFonts w:asciiTheme="minorHAnsi" w:hAnsiTheme="minorHAnsi" w:cstheme="minorHAnsi"/>
          <w:iCs/>
          <w:sz w:val="24"/>
          <w:szCs w:val="24"/>
          <w:lang w:val="pl-PL"/>
        </w:rPr>
        <w:t>oraz po</w:t>
      </w:r>
      <w:r w:rsidR="00324024" w:rsidRPr="0032402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="0040174F" w:rsidRPr="00324024">
        <w:rPr>
          <w:rFonts w:asciiTheme="minorHAnsi" w:hAnsiTheme="minorHAnsi" w:cstheme="minorHAnsi"/>
          <w:iCs/>
          <w:sz w:val="24"/>
          <w:szCs w:val="24"/>
          <w:lang w:val="pl-PL"/>
        </w:rPr>
        <w:t>pozytywnie przeprowadzon</w:t>
      </w:r>
      <w:r w:rsidR="0069587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ej procedurze zmiany sprzedawcy, </w:t>
      </w:r>
      <w:r w:rsidR="0040174F" w:rsidRPr="00324024">
        <w:rPr>
          <w:rFonts w:asciiTheme="minorHAnsi" w:hAnsiTheme="minorHAnsi" w:cstheme="minorHAnsi"/>
          <w:iCs/>
          <w:sz w:val="24"/>
          <w:szCs w:val="24"/>
          <w:lang w:val="pl-PL"/>
        </w:rPr>
        <w:t>pod warunkiem posiadania przez</w:t>
      </w:r>
      <w:r w:rsidR="00324024" w:rsidRPr="00324024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="0040174F" w:rsidRPr="00324024">
        <w:rPr>
          <w:rFonts w:asciiTheme="minorHAnsi" w:hAnsiTheme="minorHAnsi" w:cstheme="minorHAnsi"/>
          <w:iCs/>
          <w:sz w:val="24"/>
          <w:szCs w:val="24"/>
          <w:lang w:val="pl-PL"/>
        </w:rPr>
        <w:t>Odbiorcę ważnych umów o świadczenia usług dystrybucji energii elektrycznej.</w:t>
      </w:r>
    </w:p>
    <w:p w:rsidR="0069587B" w:rsidRDefault="0069587B" w:rsidP="006958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9587B" w:rsidRDefault="00182D52" w:rsidP="0069587B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Postanowienia w zakresie </w:t>
      </w:r>
      <w:r w:rsidR="0069587B">
        <w:rPr>
          <w:rFonts w:asciiTheme="minorHAnsi" w:hAnsiTheme="minorHAnsi" w:cstheme="minorHAnsi"/>
          <w:b/>
          <w:sz w:val="24"/>
          <w:szCs w:val="24"/>
          <w:lang w:val="pl-PL"/>
        </w:rPr>
        <w:t>zmiany postanowień</w:t>
      </w:r>
      <w:r w:rsidR="0069587B" w:rsidRPr="0040174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Umowy</w:t>
      </w:r>
      <w:r w:rsidR="0069587B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:rsidR="0069587B" w:rsidRDefault="00EB7BEB" w:rsidP="00036CF5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Strony</w:t>
      </w:r>
      <w:r w:rsidR="00EF7D56" w:rsidRPr="00EF7D56">
        <w:rPr>
          <w:rFonts w:asciiTheme="minorHAnsi" w:hAnsiTheme="minorHAnsi" w:cstheme="minorHAnsi"/>
          <w:sz w:val="24"/>
          <w:szCs w:val="24"/>
          <w:lang w:val="pl-PL"/>
        </w:rPr>
        <w:t xml:space="preserve"> dopuszcza</w:t>
      </w:r>
      <w:r>
        <w:rPr>
          <w:rFonts w:asciiTheme="minorHAnsi" w:hAnsiTheme="minorHAnsi" w:cstheme="minorHAnsi"/>
          <w:sz w:val="24"/>
          <w:szCs w:val="24"/>
          <w:lang w:val="pl-PL"/>
        </w:rPr>
        <w:t>ją wprowadzenia istotnych zmian postanowień zawartej Umowy w w stosunku do treści oferty, w przypadkach</w:t>
      </w:r>
      <w:r w:rsidR="00EF7D56" w:rsidRPr="00EF7D56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EF7D56" w:rsidRDefault="00EF7D56" w:rsidP="00DF3FC2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F7D56">
        <w:rPr>
          <w:rFonts w:asciiTheme="minorHAnsi" w:hAnsiTheme="minorHAnsi" w:cstheme="minorHAnsi"/>
          <w:sz w:val="24"/>
          <w:szCs w:val="24"/>
          <w:lang w:val="pl-PL"/>
        </w:rPr>
        <w:t>Zmiany jednostkowej stawki i lub ceny za 1 MWh wyłącznie w przypadku:</w:t>
      </w:r>
    </w:p>
    <w:p w:rsidR="00EF7D56" w:rsidRDefault="00EF7D56" w:rsidP="00DF3FC2">
      <w:pPr>
        <w:pStyle w:val="Akapitzlist"/>
        <w:numPr>
          <w:ilvl w:val="0"/>
          <w:numId w:val="29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F7D56">
        <w:rPr>
          <w:rFonts w:asciiTheme="minorHAnsi" w:hAnsiTheme="minorHAnsi" w:cstheme="minorHAnsi"/>
          <w:sz w:val="24"/>
          <w:szCs w:val="24"/>
          <w:lang w:val="pl-PL"/>
        </w:rPr>
        <w:t>ustawowej zmiany stawki podatku VAT i/lub</w:t>
      </w:r>
      <w:r w:rsidR="009039F1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:rsidR="00EF7D56" w:rsidRDefault="00EF7D56" w:rsidP="00DF3FC2">
      <w:pPr>
        <w:pStyle w:val="Akapitzlist"/>
        <w:numPr>
          <w:ilvl w:val="0"/>
          <w:numId w:val="29"/>
        </w:numPr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F7D56">
        <w:rPr>
          <w:rFonts w:asciiTheme="minorHAnsi" w:hAnsiTheme="minorHAnsi" w:cstheme="minorHAnsi"/>
          <w:sz w:val="24"/>
          <w:szCs w:val="24"/>
          <w:lang w:val="pl-PL"/>
        </w:rPr>
        <w:t>ustawowej zmiany opodatkowania energii elektrycznej podatkiem akcyzowym</w:t>
      </w:r>
      <w:r w:rsidR="009039F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9039F1" w:rsidRDefault="009039F1" w:rsidP="00DF3FC2">
      <w:p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039F1">
        <w:rPr>
          <w:rFonts w:asciiTheme="minorHAnsi" w:hAnsiTheme="minorHAnsi" w:cstheme="minorHAnsi"/>
          <w:sz w:val="24"/>
          <w:szCs w:val="24"/>
          <w:lang w:val="pl-PL"/>
        </w:rPr>
        <w:lastRenderedPageBreak/>
        <w:t>Zmiany, o których mowa w pkt 1</w:t>
      </w:r>
      <w:r w:rsidR="00EB7BEB">
        <w:rPr>
          <w:rFonts w:asciiTheme="minorHAnsi" w:hAnsiTheme="minorHAnsi" w:cstheme="minorHAnsi"/>
          <w:sz w:val="24"/>
          <w:szCs w:val="24"/>
          <w:lang w:val="pl-PL"/>
        </w:rPr>
        <w:t xml:space="preserve"> i 2 </w:t>
      </w:r>
      <w:r w:rsidRPr="009039F1">
        <w:rPr>
          <w:rFonts w:asciiTheme="minorHAnsi" w:hAnsiTheme="minorHAnsi" w:cstheme="minorHAnsi"/>
          <w:sz w:val="24"/>
          <w:szCs w:val="24"/>
          <w:lang w:val="pl-PL"/>
        </w:rPr>
        <w:t>obowiązywać będą od dnia wejścia w życie stosownych przepisów i dla swej ważności nie wymagają zmiany Umowy (Aneksu)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9039F1" w:rsidRDefault="009039F1" w:rsidP="00DF3FC2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039F1">
        <w:rPr>
          <w:rFonts w:asciiTheme="minorHAnsi" w:hAnsiTheme="minorHAnsi" w:cstheme="minorHAnsi"/>
          <w:sz w:val="24"/>
          <w:szCs w:val="24"/>
          <w:lang w:val="pl-PL"/>
        </w:rPr>
        <w:t>Zmiany ilości punktów poboru energii wskazanych w Załączniku nr 1 do Umowy, przy czym zmiana ilości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39F1">
        <w:rPr>
          <w:rFonts w:asciiTheme="minorHAnsi" w:hAnsiTheme="minorHAnsi" w:cstheme="minorHAnsi"/>
          <w:sz w:val="24"/>
          <w:szCs w:val="24"/>
          <w:lang w:val="pl-PL"/>
        </w:rPr>
        <w:t>punktów poboru energii elektrycznej wynikać może np. z włączenia punktów poboru, z likwidacji punktu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39F1">
        <w:rPr>
          <w:rFonts w:asciiTheme="minorHAnsi" w:hAnsiTheme="minorHAnsi" w:cstheme="minorHAnsi"/>
          <w:sz w:val="24"/>
          <w:szCs w:val="24"/>
          <w:lang w:val="pl-PL"/>
        </w:rPr>
        <w:t>poboru z eksploatacji w okresie trwania Umowy lub zmiany stanu prawnego punktu poboru (w tym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39F1">
        <w:rPr>
          <w:rFonts w:asciiTheme="minorHAnsi" w:hAnsiTheme="minorHAnsi" w:cstheme="minorHAnsi"/>
          <w:sz w:val="24"/>
          <w:szCs w:val="24"/>
          <w:lang w:val="pl-PL"/>
        </w:rPr>
        <w:t>przejęcia), zmiany w zakresie odbiorcy, zaistnienia przeszkód prawnych i formalnych uniemożliwiających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39F1">
        <w:rPr>
          <w:rFonts w:asciiTheme="minorHAnsi" w:hAnsiTheme="minorHAnsi" w:cstheme="minorHAnsi"/>
          <w:sz w:val="24"/>
          <w:szCs w:val="24"/>
          <w:lang w:val="pl-PL"/>
        </w:rPr>
        <w:t>przeprowadzenie procedury zmiany sprzedawcy, w tym w przypadku zaistnienia przeszkód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39F1">
        <w:rPr>
          <w:rFonts w:asciiTheme="minorHAnsi" w:hAnsiTheme="minorHAnsi" w:cstheme="minorHAnsi"/>
          <w:sz w:val="24"/>
          <w:szCs w:val="24"/>
          <w:lang w:val="pl-PL"/>
        </w:rPr>
        <w:t>uniemożliwiających rozwiązanie dotychczas obowiązujących umów. Przy czym zwiększenie ilości punktów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39F1">
        <w:rPr>
          <w:rFonts w:asciiTheme="minorHAnsi" w:hAnsiTheme="minorHAnsi" w:cstheme="minorHAnsi"/>
          <w:sz w:val="24"/>
          <w:szCs w:val="24"/>
          <w:lang w:val="pl-PL"/>
        </w:rPr>
        <w:t>poboru możliwe jest jedynie w obrębie grup taryfowych, które zostały ujęte w SWZ, zwiększenie ilości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39F1">
        <w:rPr>
          <w:rFonts w:asciiTheme="minorHAnsi" w:hAnsiTheme="minorHAnsi" w:cstheme="minorHAnsi"/>
          <w:sz w:val="24"/>
          <w:szCs w:val="24"/>
          <w:lang w:val="pl-PL"/>
        </w:rPr>
        <w:t>punktów poboru nie maże spowodować zwiększenia ilości poboru energii elektrycznej o ponad 10%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39F1">
        <w:rPr>
          <w:rFonts w:asciiTheme="minorHAnsi" w:hAnsiTheme="minorHAnsi" w:cstheme="minorHAnsi"/>
          <w:sz w:val="24"/>
          <w:szCs w:val="24"/>
          <w:lang w:val="pl-PL"/>
        </w:rPr>
        <w:t>wolumenu szacowanego.</w:t>
      </w:r>
    </w:p>
    <w:p w:rsidR="009039F1" w:rsidRDefault="009039F1" w:rsidP="009039F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039F1">
        <w:rPr>
          <w:rFonts w:asciiTheme="minorHAnsi" w:hAnsiTheme="minorHAnsi" w:cstheme="minorHAnsi"/>
          <w:sz w:val="24"/>
          <w:szCs w:val="24"/>
          <w:lang w:val="pl-PL"/>
        </w:rPr>
        <w:t>Zmiany terminu rozpoczęcia dostaw energii elektrycznej do poszczególnych punktów poboru, jeżeli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39F1">
        <w:rPr>
          <w:rFonts w:asciiTheme="minorHAnsi" w:hAnsiTheme="minorHAnsi" w:cstheme="minorHAnsi"/>
          <w:sz w:val="24"/>
          <w:szCs w:val="24"/>
          <w:lang w:val="pl-PL"/>
        </w:rPr>
        <w:t>zmiana ta wynika z okoliczności niezależnych od Stron.</w:t>
      </w:r>
    </w:p>
    <w:p w:rsidR="009039F1" w:rsidRDefault="0057235E" w:rsidP="0057235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235E">
        <w:rPr>
          <w:rFonts w:asciiTheme="minorHAnsi" w:hAnsiTheme="minorHAnsi" w:cstheme="minorHAnsi"/>
          <w:sz w:val="24"/>
          <w:szCs w:val="24"/>
          <w:lang w:val="pl-PL"/>
        </w:rPr>
        <w:t>Zmiany grup taryfowych, przy czym zmiana grupy taryfowej możliwa jest jedynie w obrębie grup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7235E">
        <w:rPr>
          <w:rFonts w:asciiTheme="minorHAnsi" w:hAnsiTheme="minorHAnsi" w:cstheme="minorHAnsi"/>
          <w:sz w:val="24"/>
          <w:szCs w:val="24"/>
          <w:lang w:val="pl-PL"/>
        </w:rPr>
        <w:t>taryfowych, które zostały ujęte w SWZ lub wprowadzenia nowy grup taryfowych lub innych rozwiązań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7235E">
        <w:rPr>
          <w:rFonts w:asciiTheme="minorHAnsi" w:hAnsiTheme="minorHAnsi" w:cstheme="minorHAnsi"/>
          <w:sz w:val="24"/>
          <w:szCs w:val="24"/>
          <w:lang w:val="pl-PL"/>
        </w:rPr>
        <w:t>opisanych w pkt 6 związanych z zamrożeniem cen energii elektrycznej z jednoczesnym utworzeniem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7235E">
        <w:rPr>
          <w:rFonts w:asciiTheme="minorHAnsi" w:hAnsiTheme="minorHAnsi" w:cstheme="minorHAnsi"/>
          <w:sz w:val="24"/>
          <w:szCs w:val="24"/>
          <w:lang w:val="pl-PL"/>
        </w:rPr>
        <w:t>nowych taryf.</w:t>
      </w:r>
    </w:p>
    <w:p w:rsidR="0057235E" w:rsidRDefault="0057235E" w:rsidP="0057235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235E">
        <w:rPr>
          <w:rFonts w:asciiTheme="minorHAnsi" w:hAnsiTheme="minorHAnsi" w:cstheme="minorHAnsi"/>
          <w:sz w:val="24"/>
          <w:szCs w:val="24"/>
          <w:lang w:val="pl-PL"/>
        </w:rPr>
        <w:t>Zmiany łącznego wynagrodzenie brutto Wykonawcy, o ile zajdą okoliczności (łącznie lub rozdzielnie)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35CAE">
        <w:rPr>
          <w:rFonts w:asciiTheme="minorHAnsi" w:hAnsiTheme="minorHAnsi" w:cstheme="minorHAnsi"/>
          <w:sz w:val="24"/>
          <w:szCs w:val="24"/>
          <w:lang w:val="pl-PL"/>
        </w:rPr>
        <w:t>opisane w ust.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1 i 2 niniejszego rozdziału</w:t>
      </w:r>
      <w:r w:rsidRPr="0057235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7235E" w:rsidRDefault="0057235E" w:rsidP="0057235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235E">
        <w:rPr>
          <w:rFonts w:asciiTheme="minorHAnsi" w:hAnsiTheme="minorHAnsi" w:cstheme="minorHAnsi"/>
          <w:sz w:val="24"/>
          <w:szCs w:val="24"/>
          <w:lang w:val="pl-PL"/>
        </w:rPr>
        <w:t>Zmiany obowiązujących przepisów, jeżeli zgodnie z nimi konieczne będzie dostosowanie treści Umowy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7235E">
        <w:rPr>
          <w:rFonts w:asciiTheme="minorHAnsi" w:hAnsiTheme="minorHAnsi" w:cstheme="minorHAnsi"/>
          <w:sz w:val="24"/>
          <w:szCs w:val="24"/>
          <w:lang w:val="pl-PL"/>
        </w:rPr>
        <w:t>do aktualnego stanu prawnego.</w:t>
      </w:r>
    </w:p>
    <w:p w:rsidR="0057235E" w:rsidRDefault="0057235E" w:rsidP="0057235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Zmiany przepisów prawa umożliwiających</w:t>
      </w:r>
      <w:r w:rsidRPr="0057235E">
        <w:rPr>
          <w:rFonts w:asciiTheme="minorHAnsi" w:hAnsiTheme="minorHAnsi" w:cstheme="minorHAnsi"/>
          <w:sz w:val="24"/>
          <w:szCs w:val="24"/>
          <w:lang w:val="pl-PL"/>
        </w:rPr>
        <w:t xml:space="preserve"> w szczególności "zamrożenie" </w:t>
      </w:r>
      <w:r>
        <w:rPr>
          <w:rFonts w:asciiTheme="minorHAnsi" w:hAnsiTheme="minorHAnsi" w:cstheme="minorHAnsi"/>
          <w:sz w:val="24"/>
          <w:szCs w:val="24"/>
          <w:lang w:val="pl-PL"/>
        </w:rPr>
        <w:t>stawek cen energii elektrycznej.</w:t>
      </w:r>
    </w:p>
    <w:p w:rsidR="00DF3FC2" w:rsidRPr="0057235E" w:rsidRDefault="00DF3FC2" w:rsidP="00DF3FC2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F3FC2" w:rsidRPr="00DF3FC2" w:rsidRDefault="00DF3FC2" w:rsidP="00DF3FC2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F3FC2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Postanowienia w zakresie </w:t>
      </w:r>
      <w:r w:rsidR="00A46CD2">
        <w:rPr>
          <w:rFonts w:asciiTheme="minorHAnsi" w:hAnsiTheme="minorHAnsi" w:cstheme="minorHAnsi"/>
          <w:b/>
          <w:sz w:val="24"/>
          <w:szCs w:val="24"/>
          <w:lang w:val="pl-PL"/>
        </w:rPr>
        <w:t>rozwiązania/wypowiedzenia</w:t>
      </w:r>
      <w:r w:rsidRPr="00DF3FC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Umowy.</w:t>
      </w:r>
    </w:p>
    <w:p w:rsidR="00A46CD2" w:rsidRPr="00A46CD2" w:rsidRDefault="00A46CD2" w:rsidP="00A46CD2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46CD2">
        <w:rPr>
          <w:rFonts w:asciiTheme="minorHAnsi" w:hAnsiTheme="minorHAnsi" w:cstheme="minorHAnsi"/>
          <w:sz w:val="24"/>
          <w:szCs w:val="24"/>
          <w:lang w:val="pl-PL"/>
        </w:rPr>
        <w:t xml:space="preserve">Zamawiającemu przysługuje prawo odstąpienia od umowy lub jej części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Zamawiający może odstąpić od umowy w terminie 30 dni od powzięcia wiadomości o powyższych okolicznościach. W takim przypadku Wykonawca może żądać jedynie może żądać wyłącznie wynagrodzenia należnego z tytułu wykonania części umowy. </w:t>
      </w:r>
    </w:p>
    <w:p w:rsidR="0040174F" w:rsidRDefault="00A46CD2" w:rsidP="00A46CD2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46CD2">
        <w:rPr>
          <w:rFonts w:asciiTheme="minorHAnsi" w:hAnsiTheme="minorHAnsi" w:cstheme="minorHAnsi"/>
          <w:sz w:val="24"/>
          <w:szCs w:val="24"/>
          <w:lang w:val="pl-PL"/>
        </w:rPr>
        <w:t>Zamawiający ma prawo do rezygnacji z punktów odbiorów wymienionych w Załączniku nr 1 Umowy w przypadku przekazania, sprzedaży, wynajmu obiektu innemu właścicielowi, w przypadku zamknięcia lub likwidacji obiektu, a Wykonawcy nie będą z tego tytułu przysługiwały względem Zamawiającego żadne roszczenia.</w:t>
      </w:r>
    </w:p>
    <w:p w:rsidR="00A46CD2" w:rsidRDefault="00A46CD2" w:rsidP="00A46CD2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46CD2">
        <w:rPr>
          <w:rFonts w:asciiTheme="minorHAnsi" w:hAnsiTheme="minorHAnsi" w:cstheme="minorHAnsi"/>
          <w:sz w:val="24"/>
          <w:szCs w:val="24"/>
          <w:lang w:val="pl-PL"/>
        </w:rPr>
        <w:t>Rozwiązanie Umowy nie zwalnia Stron z obowiązku uregulowania wobec drugiej Strony wszelkich zobowiązań z niej wynikających.</w:t>
      </w:r>
    </w:p>
    <w:p w:rsidR="00A46CD2" w:rsidRDefault="00A46CD2" w:rsidP="00A46CD2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A46CD2" w:rsidRPr="00DF3FC2" w:rsidRDefault="00A46CD2" w:rsidP="00A46CD2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F3FC2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Postanowienia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końcowe</w:t>
      </w:r>
      <w:r w:rsidRPr="00DF3FC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Umowy.</w:t>
      </w:r>
    </w:p>
    <w:p w:rsidR="001B7D4D" w:rsidRPr="001B7D4D" w:rsidRDefault="001B7D4D" w:rsidP="001B7D4D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B7D4D">
        <w:rPr>
          <w:rFonts w:asciiTheme="minorHAnsi" w:hAnsiTheme="minorHAnsi" w:cstheme="minorHAnsi"/>
          <w:sz w:val="24"/>
          <w:szCs w:val="24"/>
          <w:lang w:val="pl-PL"/>
        </w:rPr>
        <w:t xml:space="preserve">W sprawach nieuregulowanych w umowie będą miały zastosowanie przepisy Kodeksu Cywilnego, ustawy Prawo zamówień publicznych oraz ustawy Prawo energetyczne wraz z obowiązującymi aktami wykonawczymi. </w:t>
      </w:r>
    </w:p>
    <w:p w:rsidR="001B7D4D" w:rsidRPr="001B7D4D" w:rsidRDefault="001B7D4D" w:rsidP="001B7D4D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B7D4D">
        <w:rPr>
          <w:rFonts w:asciiTheme="minorHAnsi" w:hAnsiTheme="minorHAnsi" w:cstheme="minorHAnsi"/>
          <w:sz w:val="24"/>
          <w:szCs w:val="24"/>
          <w:lang w:val="pl-PL"/>
        </w:rPr>
        <w:t xml:space="preserve">Korespondencję związaną z realizacją niniejszej Umowy oraz bieżącym poborem/fakturami za zużycie energii elektrycznej Wykonawca kierować będzie na adres Zamawiającego. </w:t>
      </w:r>
    </w:p>
    <w:p w:rsidR="001B7D4D" w:rsidRPr="001B7D4D" w:rsidRDefault="001B7D4D" w:rsidP="001B7D4D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B7D4D">
        <w:rPr>
          <w:rFonts w:asciiTheme="minorHAnsi" w:hAnsiTheme="minorHAnsi" w:cstheme="minorHAnsi"/>
          <w:sz w:val="24"/>
          <w:szCs w:val="24"/>
          <w:lang w:val="pl-PL"/>
        </w:rPr>
        <w:t>Strony zobowiązują się dążyć do polubownego rozwiązywania wszelkich sporów, jakie mogą powstać w związku z realizacją niniejszej Umowy. W przypadku niemożności porozumienia się przez Strony rozstrzygać będzie sąd powszechny właściwy dla siedziby Zamawiającego.</w:t>
      </w:r>
    </w:p>
    <w:p w:rsidR="001B7D4D" w:rsidRPr="0040174F" w:rsidRDefault="001B7D4D" w:rsidP="001B7D4D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B7D4D">
        <w:rPr>
          <w:rFonts w:asciiTheme="minorHAnsi" w:hAnsiTheme="minorHAnsi" w:cstheme="minorHAnsi"/>
          <w:sz w:val="24"/>
          <w:szCs w:val="24"/>
          <w:lang w:val="pl-PL"/>
        </w:rPr>
        <w:t>Wszelkie zmiany niniejszej umowy muszą zostać dokonane w formie pisemnej, pod rygorem ich nieważności.</w:t>
      </w:r>
    </w:p>
    <w:p w:rsidR="00CB3ADA" w:rsidRPr="00CB3ADA" w:rsidRDefault="00CB3ADA" w:rsidP="00CB3ADA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C21427" w:rsidRPr="004F6B32" w:rsidRDefault="00C21427" w:rsidP="00A46CD2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44873" w:rsidRPr="007F494E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44873" w:rsidRPr="007F494E" w:rsidSect="001808E6">
      <w:footerReference w:type="default" r:id="rId7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F4" w:rsidRDefault="00CC7CF4">
      <w:r>
        <w:separator/>
      </w:r>
    </w:p>
  </w:endnote>
  <w:endnote w:type="continuationSeparator" w:id="0">
    <w:p w:rsidR="00CC7CF4" w:rsidRDefault="00CC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67" w:rsidRDefault="009E050B">
    <w:pPr>
      <w:pStyle w:val="Stopka"/>
      <w:jc w:val="right"/>
    </w:pPr>
    <w:r>
      <w:fldChar w:fldCharType="begin"/>
    </w:r>
    <w:r w:rsidR="00B91867">
      <w:instrText>PAGE   \* MERGEFORMAT</w:instrText>
    </w:r>
    <w:r>
      <w:fldChar w:fldCharType="separate"/>
    </w:r>
    <w:r w:rsidR="00776ADA" w:rsidRPr="00776ADA">
      <w:rPr>
        <w:noProof/>
        <w:lang w:val="pl-PL"/>
      </w:rPr>
      <w:t>7</w:t>
    </w:r>
    <w:r>
      <w:rPr>
        <w:noProof/>
        <w:lang w:val="pl-PL"/>
      </w:rPr>
      <w:fldChar w:fldCharType="end"/>
    </w:r>
  </w:p>
  <w:p w:rsidR="00B91867" w:rsidRDefault="00B91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F4" w:rsidRDefault="00CC7CF4">
      <w:r>
        <w:separator/>
      </w:r>
    </w:p>
  </w:footnote>
  <w:footnote w:type="continuationSeparator" w:id="0">
    <w:p w:rsidR="00CC7CF4" w:rsidRDefault="00CC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" w15:restartNumberingAfterBreak="0">
    <w:nsid w:val="050E11FE"/>
    <w:multiLevelType w:val="hybridMultilevel"/>
    <w:tmpl w:val="7B1C4F9E"/>
    <w:lvl w:ilvl="0" w:tplc="A3C6661C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49E8B1B6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4" w15:restartNumberingAfterBreak="0">
    <w:nsid w:val="05251D92"/>
    <w:multiLevelType w:val="hybridMultilevel"/>
    <w:tmpl w:val="44A25D50"/>
    <w:lvl w:ilvl="0" w:tplc="7BB09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F75880"/>
    <w:multiLevelType w:val="hybridMultilevel"/>
    <w:tmpl w:val="134C997C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6" w15:restartNumberingAfterBreak="0">
    <w:nsid w:val="12742C33"/>
    <w:multiLevelType w:val="hybridMultilevel"/>
    <w:tmpl w:val="72886B44"/>
    <w:lvl w:ilvl="0" w:tplc="7BB09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A75635"/>
    <w:multiLevelType w:val="hybridMultilevel"/>
    <w:tmpl w:val="F676ADA2"/>
    <w:lvl w:ilvl="0" w:tplc="F1D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C12CDF"/>
    <w:multiLevelType w:val="hybridMultilevel"/>
    <w:tmpl w:val="5FEC7056"/>
    <w:lvl w:ilvl="0" w:tplc="FA7C0C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A26E6D"/>
    <w:multiLevelType w:val="hybridMultilevel"/>
    <w:tmpl w:val="6FD4B254"/>
    <w:lvl w:ilvl="0" w:tplc="ED961D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CF2676"/>
    <w:multiLevelType w:val="hybridMultilevel"/>
    <w:tmpl w:val="4050BC2E"/>
    <w:lvl w:ilvl="0" w:tplc="8562663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00116F"/>
    <w:multiLevelType w:val="hybridMultilevel"/>
    <w:tmpl w:val="402E9128"/>
    <w:lvl w:ilvl="0" w:tplc="751AFE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0F23E2"/>
    <w:multiLevelType w:val="hybridMultilevel"/>
    <w:tmpl w:val="587CDF4C"/>
    <w:lvl w:ilvl="0" w:tplc="CDA4C12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DF6BE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0A6C"/>
    <w:multiLevelType w:val="hybridMultilevel"/>
    <w:tmpl w:val="188C1E06"/>
    <w:lvl w:ilvl="0" w:tplc="0FD82BD2">
      <w:start w:val="1"/>
      <w:numFmt w:val="decimal"/>
      <w:lvlText w:val="%1."/>
      <w:lvlJc w:val="left"/>
      <w:pPr>
        <w:ind w:left="644" w:hanging="360"/>
      </w:pPr>
      <w:rPr>
        <w:rFonts w:cs="Cambria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14" w15:restartNumberingAfterBreak="0">
    <w:nsid w:val="306A7D09"/>
    <w:multiLevelType w:val="hybridMultilevel"/>
    <w:tmpl w:val="9C16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4663C"/>
    <w:multiLevelType w:val="hybridMultilevel"/>
    <w:tmpl w:val="47D4DFAC"/>
    <w:lvl w:ilvl="0" w:tplc="393C1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B04BBF"/>
    <w:multiLevelType w:val="hybridMultilevel"/>
    <w:tmpl w:val="6F48783A"/>
    <w:lvl w:ilvl="0" w:tplc="002A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8518FD"/>
    <w:multiLevelType w:val="hybridMultilevel"/>
    <w:tmpl w:val="CC403BE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F0401"/>
    <w:multiLevelType w:val="hybridMultilevel"/>
    <w:tmpl w:val="99388F9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C40C8"/>
    <w:multiLevelType w:val="hybridMultilevel"/>
    <w:tmpl w:val="44A25D50"/>
    <w:lvl w:ilvl="0" w:tplc="7BB09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7E76FB"/>
    <w:multiLevelType w:val="hybridMultilevel"/>
    <w:tmpl w:val="AC14299E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1" w15:restartNumberingAfterBreak="0">
    <w:nsid w:val="50EC305A"/>
    <w:multiLevelType w:val="hybridMultilevel"/>
    <w:tmpl w:val="92C2C8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23" w15:restartNumberingAfterBreak="0">
    <w:nsid w:val="58BB35C1"/>
    <w:multiLevelType w:val="hybridMultilevel"/>
    <w:tmpl w:val="BC905ADC"/>
    <w:lvl w:ilvl="0" w:tplc="043CF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820DE4"/>
    <w:multiLevelType w:val="hybridMultilevel"/>
    <w:tmpl w:val="C0FE4E70"/>
    <w:lvl w:ilvl="0" w:tplc="CB80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75E34"/>
    <w:multiLevelType w:val="hybridMultilevel"/>
    <w:tmpl w:val="74348CF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8508E"/>
    <w:multiLevelType w:val="hybridMultilevel"/>
    <w:tmpl w:val="E67A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8" w15:restartNumberingAfterBreak="0">
    <w:nsid w:val="6E3D759C"/>
    <w:multiLevelType w:val="hybridMultilevel"/>
    <w:tmpl w:val="A8AC5854"/>
    <w:lvl w:ilvl="0" w:tplc="F6049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116D9"/>
    <w:multiLevelType w:val="hybridMultilevel"/>
    <w:tmpl w:val="5FA6F820"/>
    <w:lvl w:ilvl="0" w:tplc="6E0082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2D21FF4"/>
    <w:multiLevelType w:val="hybridMultilevel"/>
    <w:tmpl w:val="2E34CA34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96D2A"/>
    <w:multiLevelType w:val="hybridMultilevel"/>
    <w:tmpl w:val="7A407246"/>
    <w:lvl w:ilvl="0" w:tplc="4BDEF8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3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num w:numId="1">
    <w:abstractNumId w:val="27"/>
  </w:num>
  <w:num w:numId="2">
    <w:abstractNumId w:val="20"/>
  </w:num>
  <w:num w:numId="3">
    <w:abstractNumId w:val="32"/>
  </w:num>
  <w:num w:numId="4">
    <w:abstractNumId w:val="13"/>
  </w:num>
  <w:num w:numId="5">
    <w:abstractNumId w:val="33"/>
  </w:num>
  <w:num w:numId="6">
    <w:abstractNumId w:val="22"/>
  </w:num>
  <w:num w:numId="7">
    <w:abstractNumId w:val="5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25"/>
  </w:num>
  <w:num w:numId="13">
    <w:abstractNumId w:val="30"/>
  </w:num>
  <w:num w:numId="14">
    <w:abstractNumId w:val="21"/>
  </w:num>
  <w:num w:numId="15">
    <w:abstractNumId w:val="24"/>
  </w:num>
  <w:num w:numId="16">
    <w:abstractNumId w:val="28"/>
  </w:num>
  <w:num w:numId="17">
    <w:abstractNumId w:val="31"/>
  </w:num>
  <w:num w:numId="18">
    <w:abstractNumId w:val="29"/>
  </w:num>
  <w:num w:numId="19">
    <w:abstractNumId w:val="10"/>
  </w:num>
  <w:num w:numId="20">
    <w:abstractNumId w:val="23"/>
  </w:num>
  <w:num w:numId="21">
    <w:abstractNumId w:val="6"/>
  </w:num>
  <w:num w:numId="22">
    <w:abstractNumId w:val="8"/>
  </w:num>
  <w:num w:numId="23">
    <w:abstractNumId w:val="9"/>
  </w:num>
  <w:num w:numId="24">
    <w:abstractNumId w:val="4"/>
  </w:num>
  <w:num w:numId="25">
    <w:abstractNumId w:val="19"/>
  </w:num>
  <w:num w:numId="26">
    <w:abstractNumId w:val="11"/>
  </w:num>
  <w:num w:numId="27">
    <w:abstractNumId w:val="14"/>
  </w:num>
  <w:num w:numId="28">
    <w:abstractNumId w:val="26"/>
  </w:num>
  <w:num w:numId="29">
    <w:abstractNumId w:val="15"/>
  </w:num>
  <w:num w:numId="30">
    <w:abstractNumId w:val="7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12F97"/>
    <w:rsid w:val="0002656B"/>
    <w:rsid w:val="00026CD4"/>
    <w:rsid w:val="000333A8"/>
    <w:rsid w:val="000336E9"/>
    <w:rsid w:val="000336EF"/>
    <w:rsid w:val="00036CF5"/>
    <w:rsid w:val="0004221F"/>
    <w:rsid w:val="00043242"/>
    <w:rsid w:val="000464D8"/>
    <w:rsid w:val="000467E1"/>
    <w:rsid w:val="00050F33"/>
    <w:rsid w:val="00055638"/>
    <w:rsid w:val="00056078"/>
    <w:rsid w:val="00060133"/>
    <w:rsid w:val="00070C67"/>
    <w:rsid w:val="00071909"/>
    <w:rsid w:val="000931DC"/>
    <w:rsid w:val="000936CA"/>
    <w:rsid w:val="00094C36"/>
    <w:rsid w:val="00097182"/>
    <w:rsid w:val="00097EB8"/>
    <w:rsid w:val="000A2768"/>
    <w:rsid w:val="000A3DCD"/>
    <w:rsid w:val="000B0025"/>
    <w:rsid w:val="000B3EA7"/>
    <w:rsid w:val="000B40F1"/>
    <w:rsid w:val="000B5CCC"/>
    <w:rsid w:val="000B7E72"/>
    <w:rsid w:val="000C0F66"/>
    <w:rsid w:val="000C175F"/>
    <w:rsid w:val="000C1AE0"/>
    <w:rsid w:val="000C5E20"/>
    <w:rsid w:val="000C682D"/>
    <w:rsid w:val="000C7C34"/>
    <w:rsid w:val="000D095A"/>
    <w:rsid w:val="000D39BE"/>
    <w:rsid w:val="000D3FA0"/>
    <w:rsid w:val="000D7CE4"/>
    <w:rsid w:val="000E0FAC"/>
    <w:rsid w:val="000F1EDF"/>
    <w:rsid w:val="000F4F9C"/>
    <w:rsid w:val="0010423F"/>
    <w:rsid w:val="00104EBB"/>
    <w:rsid w:val="0010566A"/>
    <w:rsid w:val="00113810"/>
    <w:rsid w:val="00122EDB"/>
    <w:rsid w:val="0012371D"/>
    <w:rsid w:val="00123CA8"/>
    <w:rsid w:val="00142AF3"/>
    <w:rsid w:val="00146FD9"/>
    <w:rsid w:val="0015102B"/>
    <w:rsid w:val="0015152A"/>
    <w:rsid w:val="00153185"/>
    <w:rsid w:val="00153AC9"/>
    <w:rsid w:val="001609CE"/>
    <w:rsid w:val="00162110"/>
    <w:rsid w:val="001638C4"/>
    <w:rsid w:val="00166585"/>
    <w:rsid w:val="001764D4"/>
    <w:rsid w:val="001808E6"/>
    <w:rsid w:val="00181F4D"/>
    <w:rsid w:val="00182D52"/>
    <w:rsid w:val="0018323F"/>
    <w:rsid w:val="001941F9"/>
    <w:rsid w:val="00197628"/>
    <w:rsid w:val="001A0AAD"/>
    <w:rsid w:val="001A5B15"/>
    <w:rsid w:val="001B15A5"/>
    <w:rsid w:val="001B2549"/>
    <w:rsid w:val="001B44C3"/>
    <w:rsid w:val="001B7647"/>
    <w:rsid w:val="001B7D4D"/>
    <w:rsid w:val="001C18FD"/>
    <w:rsid w:val="001C37CB"/>
    <w:rsid w:val="001C4145"/>
    <w:rsid w:val="001C682F"/>
    <w:rsid w:val="001D0EBD"/>
    <w:rsid w:val="001D3708"/>
    <w:rsid w:val="001D3B84"/>
    <w:rsid w:val="001E1DFE"/>
    <w:rsid w:val="001E1F52"/>
    <w:rsid w:val="001E3085"/>
    <w:rsid w:val="001E62E4"/>
    <w:rsid w:val="001E7E7F"/>
    <w:rsid w:val="001F341B"/>
    <w:rsid w:val="001F413D"/>
    <w:rsid w:val="001F47BF"/>
    <w:rsid w:val="002025E8"/>
    <w:rsid w:val="00213B96"/>
    <w:rsid w:val="00216C17"/>
    <w:rsid w:val="0021732F"/>
    <w:rsid w:val="00235371"/>
    <w:rsid w:val="0023711A"/>
    <w:rsid w:val="002413CF"/>
    <w:rsid w:val="00242959"/>
    <w:rsid w:val="00243836"/>
    <w:rsid w:val="002460FA"/>
    <w:rsid w:val="002471E6"/>
    <w:rsid w:val="00261787"/>
    <w:rsid w:val="00263FF4"/>
    <w:rsid w:val="00267340"/>
    <w:rsid w:val="002724E5"/>
    <w:rsid w:val="0027651D"/>
    <w:rsid w:val="00280963"/>
    <w:rsid w:val="0028098A"/>
    <w:rsid w:val="00280A47"/>
    <w:rsid w:val="00281004"/>
    <w:rsid w:val="00292B0E"/>
    <w:rsid w:val="00293465"/>
    <w:rsid w:val="00294C56"/>
    <w:rsid w:val="00296E4B"/>
    <w:rsid w:val="002A31CA"/>
    <w:rsid w:val="002A3BD4"/>
    <w:rsid w:val="002A5904"/>
    <w:rsid w:val="002B0FCA"/>
    <w:rsid w:val="002B29C0"/>
    <w:rsid w:val="002B392F"/>
    <w:rsid w:val="002B7788"/>
    <w:rsid w:val="002C1EDD"/>
    <w:rsid w:val="002C322F"/>
    <w:rsid w:val="002C344D"/>
    <w:rsid w:val="002C5EC9"/>
    <w:rsid w:val="002C636C"/>
    <w:rsid w:val="002D02A9"/>
    <w:rsid w:val="002D1192"/>
    <w:rsid w:val="002D3385"/>
    <w:rsid w:val="002D5B07"/>
    <w:rsid w:val="002F2074"/>
    <w:rsid w:val="003006FF"/>
    <w:rsid w:val="00303BF3"/>
    <w:rsid w:val="0030590C"/>
    <w:rsid w:val="003101D4"/>
    <w:rsid w:val="0031571B"/>
    <w:rsid w:val="003211E4"/>
    <w:rsid w:val="003227C0"/>
    <w:rsid w:val="00323FD6"/>
    <w:rsid w:val="00324024"/>
    <w:rsid w:val="00326F09"/>
    <w:rsid w:val="003321C1"/>
    <w:rsid w:val="00332A0C"/>
    <w:rsid w:val="003346D1"/>
    <w:rsid w:val="00336A31"/>
    <w:rsid w:val="00340088"/>
    <w:rsid w:val="00345FEC"/>
    <w:rsid w:val="003516D9"/>
    <w:rsid w:val="003574FA"/>
    <w:rsid w:val="0036379A"/>
    <w:rsid w:val="0037464B"/>
    <w:rsid w:val="00376F8B"/>
    <w:rsid w:val="00377A21"/>
    <w:rsid w:val="00377F3C"/>
    <w:rsid w:val="00380619"/>
    <w:rsid w:val="00381312"/>
    <w:rsid w:val="003827F5"/>
    <w:rsid w:val="003944E2"/>
    <w:rsid w:val="0039554D"/>
    <w:rsid w:val="003A19D3"/>
    <w:rsid w:val="003A37BF"/>
    <w:rsid w:val="003B38C8"/>
    <w:rsid w:val="003B46EB"/>
    <w:rsid w:val="003B5C47"/>
    <w:rsid w:val="003C2C89"/>
    <w:rsid w:val="003C41E0"/>
    <w:rsid w:val="003C6167"/>
    <w:rsid w:val="003C745D"/>
    <w:rsid w:val="003D49A3"/>
    <w:rsid w:val="003D5E0E"/>
    <w:rsid w:val="003D7D25"/>
    <w:rsid w:val="003E0953"/>
    <w:rsid w:val="003E3530"/>
    <w:rsid w:val="003E3A4F"/>
    <w:rsid w:val="003E7107"/>
    <w:rsid w:val="003F2857"/>
    <w:rsid w:val="003F6520"/>
    <w:rsid w:val="0040174F"/>
    <w:rsid w:val="00402334"/>
    <w:rsid w:val="00404A1E"/>
    <w:rsid w:val="00406F8D"/>
    <w:rsid w:val="00417232"/>
    <w:rsid w:val="00420FD0"/>
    <w:rsid w:val="00422DD6"/>
    <w:rsid w:val="004240A4"/>
    <w:rsid w:val="00427ADD"/>
    <w:rsid w:val="00441424"/>
    <w:rsid w:val="00446F63"/>
    <w:rsid w:val="00447D74"/>
    <w:rsid w:val="004502C5"/>
    <w:rsid w:val="0045300F"/>
    <w:rsid w:val="00455C70"/>
    <w:rsid w:val="00456516"/>
    <w:rsid w:val="004617A8"/>
    <w:rsid w:val="00465138"/>
    <w:rsid w:val="00466F0B"/>
    <w:rsid w:val="0047685D"/>
    <w:rsid w:val="0048629D"/>
    <w:rsid w:val="004A1ED6"/>
    <w:rsid w:val="004A2868"/>
    <w:rsid w:val="004A4849"/>
    <w:rsid w:val="004C058F"/>
    <w:rsid w:val="004C392D"/>
    <w:rsid w:val="004C4755"/>
    <w:rsid w:val="004C692C"/>
    <w:rsid w:val="004D20E8"/>
    <w:rsid w:val="004D2B2F"/>
    <w:rsid w:val="004E0A8F"/>
    <w:rsid w:val="004E2429"/>
    <w:rsid w:val="004E3401"/>
    <w:rsid w:val="004E3840"/>
    <w:rsid w:val="004F30AD"/>
    <w:rsid w:val="004F5A0A"/>
    <w:rsid w:val="004F5BBB"/>
    <w:rsid w:val="004F6B32"/>
    <w:rsid w:val="0050255F"/>
    <w:rsid w:val="00507F92"/>
    <w:rsid w:val="005119A3"/>
    <w:rsid w:val="00512FD2"/>
    <w:rsid w:val="00514450"/>
    <w:rsid w:val="0051744F"/>
    <w:rsid w:val="00523B74"/>
    <w:rsid w:val="00524428"/>
    <w:rsid w:val="0052614A"/>
    <w:rsid w:val="00527756"/>
    <w:rsid w:val="0053615E"/>
    <w:rsid w:val="00545879"/>
    <w:rsid w:val="0054599E"/>
    <w:rsid w:val="00546D19"/>
    <w:rsid w:val="005533D2"/>
    <w:rsid w:val="00563220"/>
    <w:rsid w:val="00564DF4"/>
    <w:rsid w:val="00567361"/>
    <w:rsid w:val="0057235E"/>
    <w:rsid w:val="00580446"/>
    <w:rsid w:val="005816D7"/>
    <w:rsid w:val="00583940"/>
    <w:rsid w:val="00587D31"/>
    <w:rsid w:val="00591255"/>
    <w:rsid w:val="00594E8E"/>
    <w:rsid w:val="0059616F"/>
    <w:rsid w:val="005972DC"/>
    <w:rsid w:val="00597605"/>
    <w:rsid w:val="005A1019"/>
    <w:rsid w:val="005A1934"/>
    <w:rsid w:val="005A2FF9"/>
    <w:rsid w:val="005A35A7"/>
    <w:rsid w:val="005A6C6E"/>
    <w:rsid w:val="005C168B"/>
    <w:rsid w:val="005C1CEE"/>
    <w:rsid w:val="005C5B49"/>
    <w:rsid w:val="005C6D38"/>
    <w:rsid w:val="005D0921"/>
    <w:rsid w:val="005D2104"/>
    <w:rsid w:val="005E12E7"/>
    <w:rsid w:val="005E32C5"/>
    <w:rsid w:val="005E4BC5"/>
    <w:rsid w:val="005E5623"/>
    <w:rsid w:val="005F7C5A"/>
    <w:rsid w:val="00601848"/>
    <w:rsid w:val="00614C95"/>
    <w:rsid w:val="00621FED"/>
    <w:rsid w:val="00630B77"/>
    <w:rsid w:val="00633D62"/>
    <w:rsid w:val="00633EF6"/>
    <w:rsid w:val="00634E74"/>
    <w:rsid w:val="006416BF"/>
    <w:rsid w:val="006417C1"/>
    <w:rsid w:val="00642169"/>
    <w:rsid w:val="00644299"/>
    <w:rsid w:val="0065375E"/>
    <w:rsid w:val="00654665"/>
    <w:rsid w:val="00656A2D"/>
    <w:rsid w:val="00657ACF"/>
    <w:rsid w:val="00660027"/>
    <w:rsid w:val="00662499"/>
    <w:rsid w:val="00662A24"/>
    <w:rsid w:val="00663E47"/>
    <w:rsid w:val="00666144"/>
    <w:rsid w:val="00670B20"/>
    <w:rsid w:val="0067115C"/>
    <w:rsid w:val="00676A92"/>
    <w:rsid w:val="00677408"/>
    <w:rsid w:val="00693C54"/>
    <w:rsid w:val="00694E64"/>
    <w:rsid w:val="0069587B"/>
    <w:rsid w:val="00695F5B"/>
    <w:rsid w:val="00696882"/>
    <w:rsid w:val="00697D61"/>
    <w:rsid w:val="006A38DB"/>
    <w:rsid w:val="006A6B87"/>
    <w:rsid w:val="006A7DD2"/>
    <w:rsid w:val="006B1CED"/>
    <w:rsid w:val="006B1E09"/>
    <w:rsid w:val="006B40C2"/>
    <w:rsid w:val="006B487C"/>
    <w:rsid w:val="006C5907"/>
    <w:rsid w:val="006C672C"/>
    <w:rsid w:val="006D1A18"/>
    <w:rsid w:val="006D1E8D"/>
    <w:rsid w:val="006D78E1"/>
    <w:rsid w:val="006E07A8"/>
    <w:rsid w:val="006F3A7E"/>
    <w:rsid w:val="006F51B5"/>
    <w:rsid w:val="006F7905"/>
    <w:rsid w:val="00703348"/>
    <w:rsid w:val="00704069"/>
    <w:rsid w:val="0070490D"/>
    <w:rsid w:val="007052A9"/>
    <w:rsid w:val="0070620A"/>
    <w:rsid w:val="00706D06"/>
    <w:rsid w:val="00712485"/>
    <w:rsid w:val="007132FA"/>
    <w:rsid w:val="007135F4"/>
    <w:rsid w:val="00713CF6"/>
    <w:rsid w:val="00731F6E"/>
    <w:rsid w:val="007415C4"/>
    <w:rsid w:val="00744038"/>
    <w:rsid w:val="00745C02"/>
    <w:rsid w:val="007467A0"/>
    <w:rsid w:val="0075194B"/>
    <w:rsid w:val="007520DE"/>
    <w:rsid w:val="00761EAB"/>
    <w:rsid w:val="007623A9"/>
    <w:rsid w:val="00762688"/>
    <w:rsid w:val="00765AA5"/>
    <w:rsid w:val="00766264"/>
    <w:rsid w:val="00772545"/>
    <w:rsid w:val="007741E9"/>
    <w:rsid w:val="00776ADA"/>
    <w:rsid w:val="00776CA1"/>
    <w:rsid w:val="00776D32"/>
    <w:rsid w:val="00777E67"/>
    <w:rsid w:val="0078766B"/>
    <w:rsid w:val="0079161F"/>
    <w:rsid w:val="00792987"/>
    <w:rsid w:val="007934D4"/>
    <w:rsid w:val="00795972"/>
    <w:rsid w:val="00797BCC"/>
    <w:rsid w:val="007A2775"/>
    <w:rsid w:val="007A4E47"/>
    <w:rsid w:val="007A5C0E"/>
    <w:rsid w:val="007B00D4"/>
    <w:rsid w:val="007B4D60"/>
    <w:rsid w:val="007B6B60"/>
    <w:rsid w:val="007C2908"/>
    <w:rsid w:val="007D646B"/>
    <w:rsid w:val="007D703B"/>
    <w:rsid w:val="007E34D8"/>
    <w:rsid w:val="007F2AD2"/>
    <w:rsid w:val="007F494E"/>
    <w:rsid w:val="007F518E"/>
    <w:rsid w:val="007F7AFD"/>
    <w:rsid w:val="00800261"/>
    <w:rsid w:val="0080072F"/>
    <w:rsid w:val="00801245"/>
    <w:rsid w:val="008064C0"/>
    <w:rsid w:val="008101D4"/>
    <w:rsid w:val="0081588E"/>
    <w:rsid w:val="008214FF"/>
    <w:rsid w:val="00825B0D"/>
    <w:rsid w:val="0082601D"/>
    <w:rsid w:val="00830A6B"/>
    <w:rsid w:val="008337E6"/>
    <w:rsid w:val="00834E9D"/>
    <w:rsid w:val="008401CF"/>
    <w:rsid w:val="00843F31"/>
    <w:rsid w:val="00845231"/>
    <w:rsid w:val="00850BB6"/>
    <w:rsid w:val="00853379"/>
    <w:rsid w:val="00853AE7"/>
    <w:rsid w:val="00854ECF"/>
    <w:rsid w:val="00860D20"/>
    <w:rsid w:val="00861593"/>
    <w:rsid w:val="0086299B"/>
    <w:rsid w:val="008743A9"/>
    <w:rsid w:val="008778D3"/>
    <w:rsid w:val="00881DB0"/>
    <w:rsid w:val="008822B1"/>
    <w:rsid w:val="008824A5"/>
    <w:rsid w:val="00884846"/>
    <w:rsid w:val="00886033"/>
    <w:rsid w:val="00890E58"/>
    <w:rsid w:val="00896882"/>
    <w:rsid w:val="008A0D16"/>
    <w:rsid w:val="008A0DE6"/>
    <w:rsid w:val="008A2C6A"/>
    <w:rsid w:val="008A5604"/>
    <w:rsid w:val="008A71D0"/>
    <w:rsid w:val="008B07A9"/>
    <w:rsid w:val="008B6EE6"/>
    <w:rsid w:val="008C1925"/>
    <w:rsid w:val="008D3AF3"/>
    <w:rsid w:val="008E0730"/>
    <w:rsid w:val="008E1039"/>
    <w:rsid w:val="008E176A"/>
    <w:rsid w:val="008E7D4C"/>
    <w:rsid w:val="008F1BDE"/>
    <w:rsid w:val="008F3644"/>
    <w:rsid w:val="00901D7A"/>
    <w:rsid w:val="009039F1"/>
    <w:rsid w:val="0090753B"/>
    <w:rsid w:val="00911B3D"/>
    <w:rsid w:val="00913E8A"/>
    <w:rsid w:val="00915491"/>
    <w:rsid w:val="00916F73"/>
    <w:rsid w:val="00922208"/>
    <w:rsid w:val="00930837"/>
    <w:rsid w:val="00931394"/>
    <w:rsid w:val="00933752"/>
    <w:rsid w:val="00936421"/>
    <w:rsid w:val="00941D3E"/>
    <w:rsid w:val="00941E4C"/>
    <w:rsid w:val="00947B78"/>
    <w:rsid w:val="0095140F"/>
    <w:rsid w:val="0095362E"/>
    <w:rsid w:val="00954E54"/>
    <w:rsid w:val="009561DA"/>
    <w:rsid w:val="00960246"/>
    <w:rsid w:val="00964F64"/>
    <w:rsid w:val="0097629C"/>
    <w:rsid w:val="0098432D"/>
    <w:rsid w:val="00997B0E"/>
    <w:rsid w:val="009A7064"/>
    <w:rsid w:val="009B3D27"/>
    <w:rsid w:val="009B55CC"/>
    <w:rsid w:val="009C4857"/>
    <w:rsid w:val="009C58ED"/>
    <w:rsid w:val="009D1320"/>
    <w:rsid w:val="009D7FE5"/>
    <w:rsid w:val="009E050B"/>
    <w:rsid w:val="009E29FF"/>
    <w:rsid w:val="009E308D"/>
    <w:rsid w:val="009E6200"/>
    <w:rsid w:val="009F7750"/>
    <w:rsid w:val="00A11B23"/>
    <w:rsid w:val="00A1587E"/>
    <w:rsid w:val="00A203A5"/>
    <w:rsid w:val="00A31E1D"/>
    <w:rsid w:val="00A35DB1"/>
    <w:rsid w:val="00A3722A"/>
    <w:rsid w:val="00A4042B"/>
    <w:rsid w:val="00A41405"/>
    <w:rsid w:val="00A424FD"/>
    <w:rsid w:val="00A46CD2"/>
    <w:rsid w:val="00A56A36"/>
    <w:rsid w:val="00A57131"/>
    <w:rsid w:val="00A62E45"/>
    <w:rsid w:val="00A70EA7"/>
    <w:rsid w:val="00A74399"/>
    <w:rsid w:val="00A83941"/>
    <w:rsid w:val="00A8448A"/>
    <w:rsid w:val="00A86812"/>
    <w:rsid w:val="00A86A97"/>
    <w:rsid w:val="00A91909"/>
    <w:rsid w:val="00A92109"/>
    <w:rsid w:val="00A92F38"/>
    <w:rsid w:val="00A97F05"/>
    <w:rsid w:val="00AA52FE"/>
    <w:rsid w:val="00AA74A1"/>
    <w:rsid w:val="00AA7F39"/>
    <w:rsid w:val="00AB009C"/>
    <w:rsid w:val="00AB2175"/>
    <w:rsid w:val="00AB2BC9"/>
    <w:rsid w:val="00AB59F6"/>
    <w:rsid w:val="00AC16B3"/>
    <w:rsid w:val="00AC5218"/>
    <w:rsid w:val="00AC73F5"/>
    <w:rsid w:val="00AD2BD6"/>
    <w:rsid w:val="00AE13AD"/>
    <w:rsid w:val="00AE192E"/>
    <w:rsid w:val="00AF097B"/>
    <w:rsid w:val="00AF7449"/>
    <w:rsid w:val="00B039C2"/>
    <w:rsid w:val="00B052C1"/>
    <w:rsid w:val="00B22832"/>
    <w:rsid w:val="00B2470C"/>
    <w:rsid w:val="00B303D2"/>
    <w:rsid w:val="00B5397A"/>
    <w:rsid w:val="00B60206"/>
    <w:rsid w:val="00B627E1"/>
    <w:rsid w:val="00B64053"/>
    <w:rsid w:val="00B65A7E"/>
    <w:rsid w:val="00B6749F"/>
    <w:rsid w:val="00B80F53"/>
    <w:rsid w:val="00B8252E"/>
    <w:rsid w:val="00B86290"/>
    <w:rsid w:val="00B91867"/>
    <w:rsid w:val="00B9566D"/>
    <w:rsid w:val="00B956EA"/>
    <w:rsid w:val="00BA20DE"/>
    <w:rsid w:val="00BA2B70"/>
    <w:rsid w:val="00BA4FFE"/>
    <w:rsid w:val="00BA65FC"/>
    <w:rsid w:val="00BA7191"/>
    <w:rsid w:val="00BB1DFA"/>
    <w:rsid w:val="00BC4445"/>
    <w:rsid w:val="00BC542A"/>
    <w:rsid w:val="00BD0C12"/>
    <w:rsid w:val="00BD5E3D"/>
    <w:rsid w:val="00BD63DE"/>
    <w:rsid w:val="00BF07B9"/>
    <w:rsid w:val="00BF1C24"/>
    <w:rsid w:val="00C07E7C"/>
    <w:rsid w:val="00C1048C"/>
    <w:rsid w:val="00C12A61"/>
    <w:rsid w:val="00C15B24"/>
    <w:rsid w:val="00C2033A"/>
    <w:rsid w:val="00C2060F"/>
    <w:rsid w:val="00C20F4B"/>
    <w:rsid w:val="00C21427"/>
    <w:rsid w:val="00C2196F"/>
    <w:rsid w:val="00C279EE"/>
    <w:rsid w:val="00C52DB6"/>
    <w:rsid w:val="00C574DB"/>
    <w:rsid w:val="00C6160A"/>
    <w:rsid w:val="00C62FE7"/>
    <w:rsid w:val="00C66F84"/>
    <w:rsid w:val="00C7184E"/>
    <w:rsid w:val="00C72CDA"/>
    <w:rsid w:val="00C72E35"/>
    <w:rsid w:val="00C73414"/>
    <w:rsid w:val="00C74D2A"/>
    <w:rsid w:val="00C76A80"/>
    <w:rsid w:val="00C76D52"/>
    <w:rsid w:val="00C84BF5"/>
    <w:rsid w:val="00C87D51"/>
    <w:rsid w:val="00C93478"/>
    <w:rsid w:val="00C935D0"/>
    <w:rsid w:val="00C97DCD"/>
    <w:rsid w:val="00CA199E"/>
    <w:rsid w:val="00CA67EF"/>
    <w:rsid w:val="00CA67FE"/>
    <w:rsid w:val="00CB14C1"/>
    <w:rsid w:val="00CB2834"/>
    <w:rsid w:val="00CB3ADA"/>
    <w:rsid w:val="00CB70BA"/>
    <w:rsid w:val="00CC0AFC"/>
    <w:rsid w:val="00CC2F25"/>
    <w:rsid w:val="00CC7579"/>
    <w:rsid w:val="00CC7CF4"/>
    <w:rsid w:val="00CC7D2C"/>
    <w:rsid w:val="00CD3B04"/>
    <w:rsid w:val="00CD53F1"/>
    <w:rsid w:val="00CE16EF"/>
    <w:rsid w:val="00CF7561"/>
    <w:rsid w:val="00D00EAC"/>
    <w:rsid w:val="00D05D4E"/>
    <w:rsid w:val="00D15529"/>
    <w:rsid w:val="00D16059"/>
    <w:rsid w:val="00D16627"/>
    <w:rsid w:val="00D3224A"/>
    <w:rsid w:val="00D373DE"/>
    <w:rsid w:val="00D462D3"/>
    <w:rsid w:val="00D46DCD"/>
    <w:rsid w:val="00D5265E"/>
    <w:rsid w:val="00D6442C"/>
    <w:rsid w:val="00D658D3"/>
    <w:rsid w:val="00D65F68"/>
    <w:rsid w:val="00D676DB"/>
    <w:rsid w:val="00D71B63"/>
    <w:rsid w:val="00D73D9B"/>
    <w:rsid w:val="00D73DEB"/>
    <w:rsid w:val="00D81DAC"/>
    <w:rsid w:val="00D83BDC"/>
    <w:rsid w:val="00D9696A"/>
    <w:rsid w:val="00D97B7F"/>
    <w:rsid w:val="00D97E9A"/>
    <w:rsid w:val="00DA0AA4"/>
    <w:rsid w:val="00DA2002"/>
    <w:rsid w:val="00DA2F85"/>
    <w:rsid w:val="00DB006F"/>
    <w:rsid w:val="00DB7642"/>
    <w:rsid w:val="00DC3738"/>
    <w:rsid w:val="00DC3FD0"/>
    <w:rsid w:val="00DC74C0"/>
    <w:rsid w:val="00DD0EDB"/>
    <w:rsid w:val="00DD16C9"/>
    <w:rsid w:val="00DD27F1"/>
    <w:rsid w:val="00DD576A"/>
    <w:rsid w:val="00DE2444"/>
    <w:rsid w:val="00DE2464"/>
    <w:rsid w:val="00DE6591"/>
    <w:rsid w:val="00DE766A"/>
    <w:rsid w:val="00DF1B42"/>
    <w:rsid w:val="00DF291F"/>
    <w:rsid w:val="00DF3FC2"/>
    <w:rsid w:val="00DF6E43"/>
    <w:rsid w:val="00E01AAF"/>
    <w:rsid w:val="00E02180"/>
    <w:rsid w:val="00E03E9F"/>
    <w:rsid w:val="00E07903"/>
    <w:rsid w:val="00E119B7"/>
    <w:rsid w:val="00E16050"/>
    <w:rsid w:val="00E17AB5"/>
    <w:rsid w:val="00E22496"/>
    <w:rsid w:val="00E256BD"/>
    <w:rsid w:val="00E256EB"/>
    <w:rsid w:val="00E27E3D"/>
    <w:rsid w:val="00E36244"/>
    <w:rsid w:val="00E41EFD"/>
    <w:rsid w:val="00E4460B"/>
    <w:rsid w:val="00E44873"/>
    <w:rsid w:val="00E46F22"/>
    <w:rsid w:val="00E52C34"/>
    <w:rsid w:val="00E54BB2"/>
    <w:rsid w:val="00E56000"/>
    <w:rsid w:val="00E565DB"/>
    <w:rsid w:val="00E57949"/>
    <w:rsid w:val="00E6354D"/>
    <w:rsid w:val="00E64C8D"/>
    <w:rsid w:val="00E666F3"/>
    <w:rsid w:val="00E67AD9"/>
    <w:rsid w:val="00E709A4"/>
    <w:rsid w:val="00E751C5"/>
    <w:rsid w:val="00E8205B"/>
    <w:rsid w:val="00E82FFA"/>
    <w:rsid w:val="00E86980"/>
    <w:rsid w:val="00E86DE3"/>
    <w:rsid w:val="00E874DC"/>
    <w:rsid w:val="00E877EC"/>
    <w:rsid w:val="00E90F00"/>
    <w:rsid w:val="00EB1B13"/>
    <w:rsid w:val="00EB58F4"/>
    <w:rsid w:val="00EB70D1"/>
    <w:rsid w:val="00EB7BEB"/>
    <w:rsid w:val="00EC44F6"/>
    <w:rsid w:val="00ED0BCF"/>
    <w:rsid w:val="00ED7009"/>
    <w:rsid w:val="00ED7B8C"/>
    <w:rsid w:val="00EE1A10"/>
    <w:rsid w:val="00EE359E"/>
    <w:rsid w:val="00EE4487"/>
    <w:rsid w:val="00EE6740"/>
    <w:rsid w:val="00EE7623"/>
    <w:rsid w:val="00EF17E1"/>
    <w:rsid w:val="00EF4F09"/>
    <w:rsid w:val="00EF7D56"/>
    <w:rsid w:val="00F0049C"/>
    <w:rsid w:val="00F0320B"/>
    <w:rsid w:val="00F1435D"/>
    <w:rsid w:val="00F14A3D"/>
    <w:rsid w:val="00F2185D"/>
    <w:rsid w:val="00F23422"/>
    <w:rsid w:val="00F24537"/>
    <w:rsid w:val="00F27919"/>
    <w:rsid w:val="00F34A35"/>
    <w:rsid w:val="00F34AD2"/>
    <w:rsid w:val="00F35CAE"/>
    <w:rsid w:val="00F36117"/>
    <w:rsid w:val="00F41048"/>
    <w:rsid w:val="00F52656"/>
    <w:rsid w:val="00F57AEA"/>
    <w:rsid w:val="00F61487"/>
    <w:rsid w:val="00F62A76"/>
    <w:rsid w:val="00F827F2"/>
    <w:rsid w:val="00F827F3"/>
    <w:rsid w:val="00F842CD"/>
    <w:rsid w:val="00F850DA"/>
    <w:rsid w:val="00F96490"/>
    <w:rsid w:val="00F97C4B"/>
    <w:rsid w:val="00FA1823"/>
    <w:rsid w:val="00FA39C8"/>
    <w:rsid w:val="00FB09C8"/>
    <w:rsid w:val="00FB0D08"/>
    <w:rsid w:val="00FB40A7"/>
    <w:rsid w:val="00FB427C"/>
    <w:rsid w:val="00FB768E"/>
    <w:rsid w:val="00FD0E11"/>
    <w:rsid w:val="00FD1AA8"/>
    <w:rsid w:val="00FD1CA7"/>
    <w:rsid w:val="00FD24CA"/>
    <w:rsid w:val="00FD3D6F"/>
    <w:rsid w:val="00FE2B7F"/>
    <w:rsid w:val="00FF16B6"/>
    <w:rsid w:val="00FF189F"/>
    <w:rsid w:val="00FF52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0D427-B266-415F-AF78-AF113444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87B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uiPriority w:val="99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B23"/>
  </w:style>
  <w:style w:type="character" w:customStyle="1" w:styleId="TekstkomentarzaZnak">
    <w:name w:val="Tekst komentarza Znak"/>
    <w:link w:val="Tekstkomentarza"/>
    <w:uiPriority w:val="99"/>
    <w:semiHidden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2949</TotalTime>
  <Pages>7</Pages>
  <Words>2279</Words>
  <Characters>13678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6</vt:lpstr>
      <vt:lpstr>Załącznik nr 11</vt:lpstr>
    </vt:vector>
  </TitlesOfParts>
  <Company>Energy Code</Company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Energy Code</dc:creator>
  <cp:keywords/>
  <dc:description/>
  <cp:lastModifiedBy>Konto Microsoft</cp:lastModifiedBy>
  <cp:revision>6</cp:revision>
  <cp:lastPrinted>1900-12-31T23:00:00Z</cp:lastPrinted>
  <dcterms:created xsi:type="dcterms:W3CDTF">2022-12-02T20:44:00Z</dcterms:created>
  <dcterms:modified xsi:type="dcterms:W3CDTF">2022-12-05T21:27:00Z</dcterms:modified>
</cp:coreProperties>
</file>