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2" w:rsidRDefault="005F0322" w:rsidP="005F0322"/>
    <w:p w:rsidR="005F0322" w:rsidRPr="00080BAC" w:rsidRDefault="005F0322" w:rsidP="005F0322">
      <w:pPr>
        <w:jc w:val="right"/>
        <w:rPr>
          <w:b/>
          <w:sz w:val="20"/>
        </w:rPr>
      </w:pPr>
      <w:r>
        <w:rPr>
          <w:b/>
          <w:sz w:val="20"/>
        </w:rPr>
        <w:t>Załącznik nr 2</w:t>
      </w:r>
      <w:r w:rsidRPr="00080BAC">
        <w:rPr>
          <w:b/>
          <w:sz w:val="20"/>
        </w:rPr>
        <w:t xml:space="preserve"> do SWZZP.271.</w:t>
      </w:r>
      <w:r>
        <w:rPr>
          <w:b/>
          <w:sz w:val="20"/>
        </w:rPr>
        <w:t>5.2024</w:t>
      </w:r>
    </w:p>
    <w:p w:rsidR="005F0322" w:rsidRPr="001C3338" w:rsidRDefault="005F0322" w:rsidP="005F0322">
      <w:pPr>
        <w:jc w:val="center"/>
        <w:rPr>
          <w:b/>
          <w:sz w:val="24"/>
          <w:u w:val="single"/>
        </w:rPr>
      </w:pPr>
      <w:r w:rsidRPr="001C3338">
        <w:rPr>
          <w:b/>
          <w:sz w:val="24"/>
          <w:u w:val="single"/>
        </w:rPr>
        <w:t>SZCZEGÓŁOWY OPIS PRZEDMIOTU ZAMÓWIENIA DLA CZĘŚCI II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jc w:val="both"/>
      </w:pPr>
      <w:r w:rsidRPr="001C3338">
        <w:t xml:space="preserve">Przedmiotem zamówienia jest </w:t>
      </w:r>
      <w:r w:rsidRPr="001C3338">
        <w:rPr>
          <w:b/>
          <w:u w:val="single"/>
        </w:rPr>
        <w:t>dostawa płynów eksploatacyjnych i wodnego roztworu mocznika</w:t>
      </w:r>
      <w:r w:rsidRPr="001C3338">
        <w:t xml:space="preserve"> z przeznaczeniem do stosowania w taborze własnym (karetkach pogotowia ratunkowego) zamawiającego, wg poniższej specyfikacji:</w:t>
      </w:r>
    </w:p>
    <w:tbl>
      <w:tblPr>
        <w:tblW w:w="0" w:type="auto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6984"/>
        <w:gridCol w:w="1571"/>
      </w:tblGrid>
      <w:tr w:rsidR="005F0322" w:rsidTr="005C2A9D">
        <w:trPr>
          <w:trHeight w:hRule="exact"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322" w:rsidRDefault="005F0322" w:rsidP="005C2A9D">
            <w:pPr>
              <w:spacing w:line="210" w:lineRule="exact"/>
              <w:ind w:left="240"/>
              <w:jc w:val="center"/>
            </w:pPr>
            <w:r>
              <w:rPr>
                <w:rStyle w:val="Bodytext2105ptBold"/>
              </w:rPr>
              <w:t>l.p.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322" w:rsidRDefault="005F0322" w:rsidP="005C2A9D">
            <w:pPr>
              <w:spacing w:line="210" w:lineRule="exact"/>
              <w:jc w:val="center"/>
            </w:pPr>
            <w:r>
              <w:rPr>
                <w:rStyle w:val="Bodytext2105ptBold"/>
              </w:rPr>
              <w:t>Opis przedmiotu zamówienia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322" w:rsidRDefault="005F0322" w:rsidP="005C2A9D">
            <w:pPr>
              <w:spacing w:line="210" w:lineRule="exact"/>
              <w:jc w:val="center"/>
            </w:pPr>
            <w:r>
              <w:rPr>
                <w:rStyle w:val="Bodytext2105ptBold"/>
              </w:rPr>
              <w:t>IIOŚĆ maksymalna (litry)</w:t>
            </w:r>
          </w:p>
        </w:tc>
      </w:tr>
      <w:tr w:rsidR="005F0322" w:rsidTr="005C2A9D">
        <w:trPr>
          <w:trHeight w:val="2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ind w:left="240"/>
              <w:jc w:val="center"/>
            </w:pPr>
            <w:r>
              <w:rPr>
                <w:rStyle w:val="Bodytext20"/>
              </w:rPr>
              <w:t>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40" w:lineRule="exact"/>
              <w:jc w:val="center"/>
            </w:pPr>
            <w:r>
              <w:rPr>
                <w:rStyle w:val="Bodytext20"/>
              </w:rPr>
              <w:t>Olej silnikowy klasy SAE 5W30, API SL/CF (w pojemnikach 4- lub 5-litrowych)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jc w:val="center"/>
            </w:pPr>
            <w:r>
              <w:rPr>
                <w:rStyle w:val="Bodytext20"/>
              </w:rPr>
              <w:t>250</w:t>
            </w:r>
          </w:p>
        </w:tc>
      </w:tr>
      <w:tr w:rsidR="005F0322" w:rsidTr="005C2A9D">
        <w:trPr>
          <w:trHeight w:val="2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ind w:left="240"/>
              <w:jc w:val="center"/>
            </w:pPr>
            <w:r>
              <w:rPr>
                <w:rStyle w:val="Bodytext20"/>
              </w:rPr>
              <w:t>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35" w:lineRule="exact"/>
              <w:jc w:val="center"/>
            </w:pPr>
            <w:r>
              <w:rPr>
                <w:rStyle w:val="Bodytext20"/>
              </w:rPr>
              <w:t>Olej silnikowy klasy SAE 10W40, API SL/CF (w pojemnikach 4- lub 5-litrowych)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jc w:val="center"/>
            </w:pPr>
            <w:r>
              <w:rPr>
                <w:rStyle w:val="Bodytext20"/>
              </w:rPr>
              <w:t>150</w:t>
            </w:r>
          </w:p>
        </w:tc>
      </w:tr>
      <w:tr w:rsidR="005F0322" w:rsidTr="005C2A9D">
        <w:trPr>
          <w:trHeight w:val="2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ind w:left="240"/>
              <w:jc w:val="center"/>
            </w:pPr>
            <w:r>
              <w:rPr>
                <w:rStyle w:val="Bodytext20"/>
              </w:rPr>
              <w:t>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26" w:lineRule="exact"/>
              <w:jc w:val="center"/>
            </w:pPr>
            <w:r>
              <w:rPr>
                <w:rStyle w:val="Bodytext20"/>
              </w:rPr>
              <w:t>Olej silnikowy klasy SAE 0W30, API SL/CF (w pojemnikach 4- lub 5-litrowych)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jc w:val="center"/>
            </w:pPr>
            <w:r>
              <w:rPr>
                <w:rStyle w:val="Bodytext20"/>
              </w:rPr>
              <w:t>20</w:t>
            </w:r>
          </w:p>
        </w:tc>
      </w:tr>
      <w:tr w:rsidR="005F0322" w:rsidTr="005C2A9D">
        <w:trPr>
          <w:trHeight w:val="2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ind w:left="240"/>
              <w:jc w:val="center"/>
            </w:pPr>
            <w:r>
              <w:rPr>
                <w:rStyle w:val="Bodytext20"/>
              </w:rPr>
              <w:t>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35" w:lineRule="exact"/>
              <w:jc w:val="center"/>
            </w:pPr>
            <w:r>
              <w:rPr>
                <w:rStyle w:val="Bodytext20"/>
              </w:rPr>
              <w:t>Płyn hamulcowy DOT-4 (w pojemnikach 0,5-lltrowych)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jc w:val="center"/>
            </w:pPr>
            <w:r>
              <w:rPr>
                <w:rStyle w:val="Bodytext20"/>
              </w:rPr>
              <w:t>5</w:t>
            </w:r>
          </w:p>
        </w:tc>
      </w:tr>
      <w:tr w:rsidR="005F0322" w:rsidTr="005C2A9D">
        <w:trPr>
          <w:trHeight w:val="2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ind w:left="240"/>
              <w:jc w:val="center"/>
            </w:pPr>
            <w:r>
              <w:rPr>
                <w:rStyle w:val="Bodytext20"/>
              </w:rPr>
              <w:t>5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jc w:val="center"/>
            </w:pPr>
            <w:r>
              <w:rPr>
                <w:rStyle w:val="Bodytext20"/>
              </w:rPr>
              <w:t>Olej przekładniowy klasy SAE 75W90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jc w:val="center"/>
            </w:pPr>
            <w:r>
              <w:rPr>
                <w:rStyle w:val="Bodytext20"/>
              </w:rPr>
              <w:t>5</w:t>
            </w:r>
          </w:p>
        </w:tc>
      </w:tr>
      <w:tr w:rsidR="005F0322" w:rsidTr="005C2A9D">
        <w:trPr>
          <w:trHeight w:val="2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ind w:left="240"/>
              <w:jc w:val="center"/>
            </w:pPr>
            <w:r>
              <w:rPr>
                <w:rStyle w:val="Bodytext20"/>
              </w:rPr>
              <w:t>6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35" w:lineRule="exact"/>
              <w:jc w:val="center"/>
            </w:pPr>
            <w:r>
              <w:rPr>
                <w:rStyle w:val="Bodytext20"/>
              </w:rPr>
              <w:t>Wodny roztwór mocznika (płyn katalityczny) typu AdBlue do redukcji tlenków azotu NOx (zawartość mocznika 32,5%), do pojazdów z silnikami Diesla (w pojemnikach maksymalnie do 20 litrów)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322" w:rsidRDefault="005F0322" w:rsidP="005C2A9D">
            <w:pPr>
              <w:spacing w:after="0" w:line="200" w:lineRule="exact"/>
              <w:jc w:val="center"/>
            </w:pPr>
            <w:r>
              <w:rPr>
                <w:rStyle w:val="Bodytext20"/>
              </w:rPr>
              <w:t>1100</w:t>
            </w:r>
          </w:p>
        </w:tc>
      </w:tr>
    </w:tbl>
    <w:p w:rsidR="005F0322" w:rsidRPr="00FD079D" w:rsidRDefault="005F0322" w:rsidP="005F0322">
      <w:pPr>
        <w:pStyle w:val="Akapitzlist"/>
        <w:spacing w:after="0"/>
        <w:ind w:left="425"/>
        <w:jc w:val="both"/>
        <w:rPr>
          <w:sz w:val="20"/>
        </w:rPr>
      </w:pP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jc w:val="both"/>
      </w:pPr>
      <w:r w:rsidRPr="001C3338">
        <w:t>Wykonawca jest zobowiązany dostarczać płyny eksploatacyjne i wodny roztwór mocznika posiadające właściwości fizykochemiczne gwarantujące odpowiednią jakość oraz spełniające wymagania określone w obowiązujących przepisach i normach. W przypadku wątpliwości co do jakości produktów, zamawiający zleci ich badania w uprawnionym laboratorium. W razie stwierdzenia niezgodności produktów z obowiązującymi przepisami ¡/lub normami, kosztami ich badania laboratoryjnego obciążony zostanie Wykonawca. W takim przypadku Wykonawca pokryje również wszelkie koszty związane z usunięciem ewentualnych awarii samochodów.</w:t>
      </w:r>
    </w:p>
    <w:p w:rsidR="005F0322" w:rsidRPr="001C3338" w:rsidRDefault="005F0322" w:rsidP="005F0322">
      <w:pPr>
        <w:pStyle w:val="Akapitzlist"/>
        <w:spacing w:after="120"/>
        <w:ind w:left="425"/>
        <w:contextualSpacing w:val="0"/>
        <w:jc w:val="both"/>
      </w:pPr>
      <w:r w:rsidRPr="001C3338">
        <w:t>W przypadku, gdy w trakcie realizacji umowy na dostawę płynów eksploatacyjnych i wodnego roztworu mocznika będzie miała miejsce nowelizacja przepisów i/lub norm, dostarczane produkty muszą być zgodne ze znowelizowanymi przepisami i normami.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 xml:space="preserve">Zamawiający wymaga sukcesywnego dostarczania produktów, na koszt i ryzyko Wykonawcy, do siedziby zamawiającego, w okresie </w:t>
      </w:r>
      <w:r w:rsidRPr="001C3338">
        <w:rPr>
          <w:b/>
        </w:rPr>
        <w:t>12 miesięcy</w:t>
      </w:r>
      <w:r w:rsidRPr="001C3338">
        <w:t xml:space="preserve"> od dnia zawarcia umowy.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 xml:space="preserve">Wykonawca zrealizuje każdą sukcesywną dostawę w terminie maksymalnie do </w:t>
      </w:r>
      <w:r w:rsidRPr="001C3338">
        <w:rPr>
          <w:b/>
        </w:rPr>
        <w:t>5 dni roboczych</w:t>
      </w:r>
      <w:r w:rsidRPr="001C3338">
        <w:t xml:space="preserve"> od dnia przesłania zamówienia przez uprawnionego pracownika zamawiającego. Pod pojęciem dni robocze zamawiający rozumie dni tygodnia od poniedziałku do piątku, z wyjątkiem dni świątecznych ustawowo wolnych od pracy, przypadających w tym okresie (</w:t>
      </w:r>
      <w:r w:rsidRPr="001C3338">
        <w:rPr>
          <w:i/>
        </w:rPr>
        <w:t>uwaga: termin realizacji dostaw sukcesywnych stanowi pozacenowe kryterium oceny ofert</w:t>
      </w:r>
      <w:r w:rsidRPr="001C3338">
        <w:t>). Dostawy sukcesywne winny być realizowane w godzinach pracy zamawiającego , tj. w godzinach od 7:30 do 14:00.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Zamówienia będą składane na bieżąco wg potrzeb Zamawiającego, za pośrednictwem poczty elektronicznej lub faksu, odpowiednio na adres e-mail lub numer faksu podane w umowie.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Miejsce realizacji zamówienia - dostaw: magazyn Samodzielnego Publicznego Zakładu Opieki Zdrowotnej - Sądeckie Pogotowie Ratunkowe, ul. Śniadeckich 15, 33- 300 Nowy Sącz, powiat nowosądecki, województwo małopolskie.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lastRenderedPageBreak/>
        <w:t>Produkty będą dostarczane w oryginalnie zamkniętych i odpowiednio oznakowanych opakowaniach handlowych typowych dla danego producenta.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Na każdym opakowaniu musi znajdować się opis produktu umożliwiający jego pełną identyfikację.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Zamawiający wymaga, aby dostań zonę produkty pochodziły z bieżącej produkcji, a ich termin ważności wynosił minimum 24 miesiące od daty dostawy danej partii towaru do siedziby zamawiającego.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Wszystkie dostarczone produkty muszą być dopuszczone do obrotu handlowego na terenie UE.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Wszystkie dostarczone produkty muszą posiadać stosowne atesty lub certyfikaty, wymagane na terenie Rzeczpospolitej Polskiej.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60"/>
        <w:ind w:left="425" w:hanging="425"/>
        <w:contextualSpacing w:val="0"/>
        <w:jc w:val="both"/>
      </w:pPr>
      <w:r w:rsidRPr="001C3338">
        <w:rPr>
          <w:b/>
        </w:rPr>
        <w:t>Najpóźniej w dniu pierwszej dostawy danego produktu wykonawca dostarczy zamawiającemu dotyczące tego produktu:</w:t>
      </w:r>
    </w:p>
    <w:p w:rsidR="005F0322" w:rsidRPr="001C3338" w:rsidRDefault="005F0322" w:rsidP="005F0322">
      <w:pPr>
        <w:pStyle w:val="Akapitzlist"/>
        <w:numPr>
          <w:ilvl w:val="1"/>
          <w:numId w:val="3"/>
        </w:numPr>
        <w:spacing w:after="60"/>
        <w:ind w:left="709" w:hanging="283"/>
        <w:contextualSpacing w:val="0"/>
        <w:jc w:val="both"/>
      </w:pPr>
      <w:r w:rsidRPr="001C3338">
        <w:rPr>
          <w:b/>
        </w:rPr>
        <w:t>dokumenty (materiały informacyjne) np. katalogi, karty charakterystyki, oświadczenia producenta/ów, atesty, certyfikaty, dopuszczenia potwierdzające, że dostarczony przez wykonawcę towar spełnia wymagania określone przez zamawiającego; w złożonych dokumentach (materiałach informacyjnych) wykonawca winien zaznaczyć zapisy świadczące o spełnianiu wymagań określonych przez zamawiającego, oraz</w:t>
      </w:r>
    </w:p>
    <w:p w:rsidR="005F0322" w:rsidRPr="001C3338" w:rsidRDefault="005F0322" w:rsidP="005F0322">
      <w:pPr>
        <w:pStyle w:val="Akapitzlist"/>
        <w:numPr>
          <w:ilvl w:val="1"/>
          <w:numId w:val="3"/>
        </w:numPr>
        <w:spacing w:after="120"/>
        <w:ind w:left="709" w:hanging="283"/>
        <w:contextualSpacing w:val="0"/>
        <w:jc w:val="both"/>
      </w:pPr>
      <w:r w:rsidRPr="001C3338">
        <w:rPr>
          <w:b/>
        </w:rPr>
        <w:t>deklaracje zgodności CE (jeżeli dotyczy).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Wykonawca jest zobowiązany na dostarczone produkty udzielić gwarancji jakości na zasadach określonych w obowiązujących przepisach</w:t>
      </w:r>
    </w:p>
    <w:p w:rsidR="005F0322" w:rsidRPr="001C3338" w:rsidRDefault="005F0322" w:rsidP="005F0322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1C3338">
        <w:t>Zamawiający nie ponosi odpowiedzialności za szkody wyrządzone przez wykonawcę podczas wykonywania przedmiotu umowy.</w:t>
      </w:r>
    </w:p>
    <w:p w:rsidR="001C3338" w:rsidRPr="005F0322" w:rsidRDefault="001C3338" w:rsidP="005F0322">
      <w:bookmarkStart w:id="0" w:name="_GoBack"/>
      <w:bookmarkEnd w:id="0"/>
    </w:p>
    <w:sectPr w:rsidR="001C3338" w:rsidRPr="005F0322" w:rsidSect="00992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74" w:rsidRDefault="00150D74" w:rsidP="00080BAC">
      <w:pPr>
        <w:spacing w:after="0" w:line="240" w:lineRule="auto"/>
      </w:pPr>
      <w:r>
        <w:separator/>
      </w:r>
    </w:p>
  </w:endnote>
  <w:endnote w:type="continuationSeparator" w:id="0">
    <w:p w:rsidR="00150D74" w:rsidRDefault="00150D74" w:rsidP="000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850881"/>
      <w:docPartObj>
        <w:docPartGallery w:val="Page Numbers (Bottom of Page)"/>
        <w:docPartUnique/>
      </w:docPartObj>
    </w:sdtPr>
    <w:sdtEndPr/>
    <w:sdtContent>
      <w:p w:rsidR="009921DF" w:rsidRDefault="00150D7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0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21DF" w:rsidRDefault="00992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74" w:rsidRDefault="00150D74" w:rsidP="00080BAC">
      <w:pPr>
        <w:spacing w:after="0" w:line="240" w:lineRule="auto"/>
      </w:pPr>
      <w:r>
        <w:separator/>
      </w:r>
    </w:p>
  </w:footnote>
  <w:footnote w:type="continuationSeparator" w:id="0">
    <w:p w:rsidR="00150D74" w:rsidRDefault="00150D74" w:rsidP="0008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05" w:rsidRDefault="00537F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4E72"/>
    <w:multiLevelType w:val="hybridMultilevel"/>
    <w:tmpl w:val="79AE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5390"/>
    <w:multiLevelType w:val="multilevel"/>
    <w:tmpl w:val="0A18793C"/>
    <w:lvl w:ilvl="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97F76D9"/>
    <w:multiLevelType w:val="multilevel"/>
    <w:tmpl w:val="0A18793C"/>
    <w:lvl w:ilvl="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C"/>
    <w:rsid w:val="00080BAC"/>
    <w:rsid w:val="000F0367"/>
    <w:rsid w:val="000F5C1C"/>
    <w:rsid w:val="00150D74"/>
    <w:rsid w:val="001B0CD3"/>
    <w:rsid w:val="001C3338"/>
    <w:rsid w:val="00453ADB"/>
    <w:rsid w:val="00537F05"/>
    <w:rsid w:val="005E714D"/>
    <w:rsid w:val="005F0322"/>
    <w:rsid w:val="009921DF"/>
    <w:rsid w:val="00C316D2"/>
    <w:rsid w:val="00D35138"/>
    <w:rsid w:val="00E77883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92A64-5838-4318-9694-133FCE1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BAC"/>
  </w:style>
  <w:style w:type="paragraph" w:styleId="Stopka">
    <w:name w:val="footer"/>
    <w:basedOn w:val="Normalny"/>
    <w:link w:val="StopkaZnak"/>
    <w:uiPriority w:val="99"/>
    <w:unhideWhenUsed/>
    <w:rsid w:val="0008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BAC"/>
  </w:style>
  <w:style w:type="paragraph" w:styleId="Tekstdymka">
    <w:name w:val="Balloon Text"/>
    <w:basedOn w:val="Normalny"/>
    <w:link w:val="TekstdymkaZnak"/>
    <w:uiPriority w:val="99"/>
    <w:semiHidden/>
    <w:unhideWhenUsed/>
    <w:rsid w:val="0008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B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0BAC"/>
    <w:pPr>
      <w:ind w:left="720"/>
      <w:contextualSpacing/>
    </w:pPr>
  </w:style>
  <w:style w:type="character" w:customStyle="1" w:styleId="Bodytext2">
    <w:name w:val="Body text (2)_"/>
    <w:basedOn w:val="Domylnaczcionkaakapitu"/>
    <w:rsid w:val="009921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;5 pt;Bold"/>
    <w:basedOn w:val="Bodytext2"/>
    <w:rsid w:val="009921D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9921D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Szot</cp:lastModifiedBy>
  <cp:revision>2</cp:revision>
  <dcterms:created xsi:type="dcterms:W3CDTF">2024-08-20T12:23:00Z</dcterms:created>
  <dcterms:modified xsi:type="dcterms:W3CDTF">2024-08-20T12:23:00Z</dcterms:modified>
</cp:coreProperties>
</file>