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6B73A21A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932603" w:rsidRPr="00B36745">
              <w:rPr>
                <w:rFonts w:ascii="Arial" w:hAnsi="Arial" w:cs="Arial"/>
                <w:lang w:eastAsia="en-GB"/>
              </w:rPr>
              <w:t>Skarb Państwa Państwowe Gospodarstwo Leśne Lasy Państwowe</w:t>
            </w:r>
            <w:r w:rsidR="00932603">
              <w:rPr>
                <w:rFonts w:ascii="Arial" w:hAnsi="Arial" w:cs="Arial"/>
                <w:lang w:eastAsia="en-GB"/>
              </w:rPr>
              <w:t xml:space="preserve"> </w:t>
            </w:r>
            <w:r w:rsidR="00932603" w:rsidRPr="00B36745">
              <w:rPr>
                <w:rFonts w:ascii="Arial" w:hAnsi="Arial" w:cs="Arial"/>
                <w:lang w:eastAsia="en-GB"/>
              </w:rPr>
              <w:t xml:space="preserve">Nadleśnictwo </w:t>
            </w:r>
            <w:r w:rsidR="00932603">
              <w:rPr>
                <w:rFonts w:ascii="Arial" w:hAnsi="Arial" w:cs="Arial"/>
                <w:lang w:eastAsia="en-GB"/>
              </w:rPr>
              <w:t>Sieniawa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4CF8EE74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932603" w:rsidRPr="00B36745">
              <w:rPr>
                <w:rFonts w:ascii="Arial" w:hAnsi="Arial" w:cs="Arial"/>
                <w:lang w:eastAsia="en-GB"/>
              </w:rPr>
              <w:t>Wykonywanie usług z zakre</w:t>
            </w:r>
            <w:r w:rsidR="00932603">
              <w:rPr>
                <w:rFonts w:ascii="Arial" w:hAnsi="Arial" w:cs="Arial"/>
                <w:lang w:eastAsia="en-GB"/>
              </w:rPr>
              <w:t xml:space="preserve">su gospodarki leśnej na terenie </w:t>
            </w:r>
            <w:r w:rsidR="00932603" w:rsidRPr="00B36745">
              <w:rPr>
                <w:rFonts w:ascii="Arial" w:hAnsi="Arial" w:cs="Arial"/>
                <w:lang w:eastAsia="en-GB"/>
              </w:rPr>
              <w:t xml:space="preserve">Nadleśnictwa </w:t>
            </w:r>
            <w:r w:rsidR="00932603">
              <w:rPr>
                <w:rFonts w:ascii="Arial" w:hAnsi="Arial" w:cs="Arial"/>
                <w:lang w:eastAsia="en-GB"/>
              </w:rPr>
              <w:t>Sieniawa</w:t>
            </w:r>
            <w:r w:rsidR="00932603" w:rsidRPr="00B36745">
              <w:rPr>
                <w:rFonts w:ascii="Arial" w:hAnsi="Arial" w:cs="Arial"/>
                <w:lang w:eastAsia="en-GB"/>
              </w:rPr>
              <w:t xml:space="preserve"> w roku 202</w:t>
            </w:r>
            <w:r w:rsidR="00932603">
              <w:rPr>
                <w:rFonts w:ascii="Arial" w:hAnsi="Arial" w:cs="Arial"/>
                <w:lang w:eastAsia="en-GB"/>
              </w:rPr>
              <w:t>2</w:t>
            </w:r>
            <w:r w:rsidR="00543A0C">
              <w:rPr>
                <w:rFonts w:ascii="Arial" w:hAnsi="Arial" w:cs="Arial"/>
                <w:lang w:eastAsia="en-GB"/>
              </w:rPr>
              <w:t xml:space="preserve"> </w:t>
            </w:r>
            <w:r w:rsidR="00543A0C" w:rsidRPr="00543A0C">
              <w:rPr>
                <w:rFonts w:ascii="Arial" w:hAnsi="Arial" w:cs="Arial"/>
                <w:lang w:eastAsia="en-GB"/>
              </w:rPr>
              <w:t>– II postępowanie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49741B1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932603" w:rsidRPr="00932603">
              <w:rPr>
                <w:rFonts w:ascii="Arial" w:hAnsi="Arial" w:cs="Arial"/>
                <w:b/>
                <w:bCs/>
                <w:lang w:eastAsia="en-GB"/>
              </w:rPr>
              <w:t>SA.270.1.</w:t>
            </w:r>
            <w:r w:rsidR="00543A0C">
              <w:rPr>
                <w:rFonts w:ascii="Arial" w:hAnsi="Arial" w:cs="Arial"/>
                <w:b/>
                <w:bCs/>
                <w:lang w:eastAsia="en-GB"/>
              </w:rPr>
              <w:t>6</w:t>
            </w:r>
            <w:r w:rsidR="00932603" w:rsidRPr="00932603">
              <w:rPr>
                <w:rFonts w:ascii="Arial" w:hAnsi="Arial" w:cs="Arial"/>
                <w:b/>
                <w:bCs/>
                <w:lang w:eastAsia="en-GB"/>
              </w:rPr>
              <w:t>.2021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</w:t>
      </w:r>
      <w:r>
        <w:rPr>
          <w:rFonts w:ascii="Arial" w:hAnsi="Arial" w:cs="Arial"/>
          <w:lang w:eastAsia="en-GB"/>
        </w:rPr>
        <w:lastRenderedPageBreak/>
        <w:t xml:space="preserve">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c) w zakresie, w jakim zostało to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 xml:space="preserve">c) długość okresu wykluczenia [……] oraz </w:t>
            </w:r>
            <w:r>
              <w:rPr>
                <w:rFonts w:ascii="Arial" w:hAnsi="Arial" w:cs="Arial"/>
                <w:lang w:eastAsia="en-GB"/>
              </w:rPr>
              <w:lastRenderedPageBreak/>
              <w:t>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obowiązki, dokonując płatności należnych podatków lub składek na ubezpieczenie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podać szczegółowe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podać szczegółowe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Proszę podać szczegółowe </w:t>
            </w:r>
            <w:r>
              <w:rPr>
                <w:rFonts w:ascii="Arial" w:hAnsi="Arial" w:cs="Arial"/>
                <w:lang w:eastAsia="en-GB"/>
              </w:rPr>
              <w:lastRenderedPageBreak/>
              <w:t>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lang w:eastAsia="en-GB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lang w:eastAsia="en-GB"/>
              </w:rPr>
              <w:lastRenderedPageBreak/>
              <w:t>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543A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5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C5AC4" w14:textId="77777777" w:rsidR="000436F0" w:rsidRDefault="000436F0">
      <w:r>
        <w:separator/>
      </w:r>
    </w:p>
  </w:endnote>
  <w:endnote w:type="continuationSeparator" w:id="0">
    <w:p w14:paraId="016467BE" w14:textId="77777777" w:rsidR="000436F0" w:rsidRDefault="0004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8828" w14:textId="77777777" w:rsidR="000436F0" w:rsidRDefault="000436F0">
      <w:r>
        <w:separator/>
      </w:r>
    </w:p>
  </w:footnote>
  <w:footnote w:type="continuationSeparator" w:id="0">
    <w:p w14:paraId="5D283663" w14:textId="77777777" w:rsidR="000436F0" w:rsidRDefault="000436F0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6F0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3A0C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2603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61C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4516</Words>
  <Characters>27100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Bartłomiej Szkamruk - Nadleśnictwo Sieniawa</cp:lastModifiedBy>
  <cp:revision>2</cp:revision>
  <cp:lastPrinted>2017-05-23T10:32:00Z</cp:lastPrinted>
  <dcterms:created xsi:type="dcterms:W3CDTF">2021-12-22T13:22:00Z</dcterms:created>
  <dcterms:modified xsi:type="dcterms:W3CDTF">2021-12-22T13:22:00Z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