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38" w:rsidRPr="00D57827" w:rsidRDefault="00286538" w:rsidP="002865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Załącznik nr 2</w:t>
      </w:r>
      <w:r w:rsidRPr="00D57827">
        <w:rPr>
          <w:rFonts w:ascii="Arial" w:hAnsi="Arial" w:cs="Arial"/>
          <w:b/>
          <w:i/>
          <w:iCs/>
          <w:sz w:val="18"/>
          <w:szCs w:val="18"/>
        </w:rPr>
        <w:t>a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 składającego oświadczenie: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E739F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7827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>Oświadczam, że W</w:t>
      </w:r>
      <w:r w:rsidRPr="00D57827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D57827">
        <w:rPr>
          <w:rFonts w:ascii="Arial" w:hAnsi="Arial" w:cs="Arial"/>
          <w:sz w:val="22"/>
          <w:szCs w:val="22"/>
        </w:rPr>
        <w:t xml:space="preserve"> nie podlega wykluczeniu z postępow</w:t>
      </w:r>
      <w:r w:rsidRPr="00D57827">
        <w:rPr>
          <w:rFonts w:ascii="Arial" w:hAnsi="Arial" w:cs="Arial"/>
          <w:sz w:val="22"/>
          <w:szCs w:val="22"/>
        </w:rPr>
        <w:t>a</w:t>
      </w:r>
      <w:r w:rsidRPr="00D57827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D57827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B3550">
        <w:rPr>
          <w:rFonts w:ascii="Arial" w:hAnsi="Arial" w:cs="Arial"/>
          <w:sz w:val="22"/>
          <w:szCs w:val="22"/>
        </w:rPr>
        <w:t xml:space="preserve">art. 7 ust. 1 </w:t>
      </w:r>
      <w:r w:rsidRPr="008D4E53">
        <w:rPr>
          <w:rFonts w:ascii="Arial" w:hAnsi="Arial" w:cs="Arial"/>
          <w:sz w:val="22"/>
          <w:szCs w:val="22"/>
        </w:rPr>
        <w:t>Ustaw</w:t>
      </w:r>
      <w:r w:rsidRPr="005B3550">
        <w:rPr>
          <w:rFonts w:ascii="Arial" w:hAnsi="Arial" w:cs="Arial"/>
          <w:sz w:val="22"/>
          <w:szCs w:val="22"/>
        </w:rPr>
        <w:t>y</w:t>
      </w:r>
      <w:r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5B355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A2AEC">
        <w:rPr>
          <w:rFonts w:ascii="Arial" w:hAnsi="Arial" w:cs="Arial"/>
          <w:sz w:val="22"/>
          <w:szCs w:val="22"/>
        </w:rPr>
        <w:t>t.j</w:t>
      </w:r>
      <w:proofErr w:type="spellEnd"/>
      <w:r w:rsidR="00EA2AEC">
        <w:rPr>
          <w:rFonts w:ascii="Arial" w:hAnsi="Arial" w:cs="Arial"/>
          <w:sz w:val="22"/>
          <w:szCs w:val="22"/>
        </w:rPr>
        <w:t xml:space="preserve">. </w:t>
      </w:r>
      <w:r w:rsidRPr="005B3550">
        <w:rPr>
          <w:rFonts w:ascii="Arial" w:hAnsi="Arial" w:cs="Arial"/>
          <w:sz w:val="22"/>
          <w:szCs w:val="22"/>
        </w:rPr>
        <w:t>Dz. U. z 202</w:t>
      </w:r>
      <w:r w:rsidR="00EA2AEC">
        <w:rPr>
          <w:rFonts w:ascii="Arial" w:hAnsi="Arial" w:cs="Arial"/>
          <w:sz w:val="22"/>
          <w:szCs w:val="22"/>
        </w:rPr>
        <w:t>4</w:t>
      </w:r>
      <w:r w:rsidRPr="005B3550">
        <w:rPr>
          <w:rFonts w:ascii="Arial" w:hAnsi="Arial" w:cs="Arial"/>
          <w:sz w:val="22"/>
          <w:szCs w:val="22"/>
        </w:rPr>
        <w:t xml:space="preserve">r. poz. </w:t>
      </w:r>
      <w:r w:rsidR="00EA2AEC">
        <w:rPr>
          <w:rFonts w:ascii="Arial" w:hAnsi="Arial" w:cs="Arial"/>
          <w:sz w:val="22"/>
          <w:szCs w:val="22"/>
        </w:rPr>
        <w:t>507</w:t>
      </w:r>
      <w:r>
        <w:rPr>
          <w:rFonts w:ascii="Arial" w:hAnsi="Arial" w:cs="Arial"/>
          <w:sz w:val="22"/>
          <w:szCs w:val="22"/>
        </w:rPr>
        <w:t>)</w:t>
      </w:r>
    </w:p>
    <w:p w:rsidR="00286538" w:rsidRPr="00D57827" w:rsidRDefault="00286538" w:rsidP="00286538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9138F4" w:rsidRDefault="00286538" w:rsidP="00ED777A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bCs/>
          <w:i/>
          <w:sz w:val="20"/>
          <w:szCs w:val="20"/>
        </w:rPr>
        <w:t xml:space="preserve">Art. 108. </w:t>
      </w:r>
      <w:r w:rsidRPr="009138F4">
        <w:rPr>
          <w:i/>
          <w:sz w:val="20"/>
          <w:szCs w:val="20"/>
        </w:rPr>
        <w:t xml:space="preserve">1. Z postępowania o udzielenie zamówienia wyklucza się wykonawcę: </w:t>
      </w:r>
    </w:p>
    <w:p w:rsidR="00286538" w:rsidRPr="009138F4" w:rsidRDefault="00286538" w:rsidP="00ED777A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1. będącego osobą fizyczną, którego prawomocnie skazano za przestępstwo: 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a) </w:t>
      </w:r>
      <w:r w:rsidRPr="00ED777A">
        <w:rPr>
          <w:rFonts w:ascii="Arial" w:eastAsia="TimesNewRomanPSMT" w:hAnsi="Arial" w:cs="Arial"/>
          <w:lang w:eastAsia="en-US"/>
        </w:rPr>
        <w:t>udziału w zorganizowanej grupie przestępczej albo związku mającym na celu popełnienie prz</w:t>
      </w:r>
      <w:r w:rsidRPr="00ED777A">
        <w:rPr>
          <w:rFonts w:ascii="Arial" w:eastAsia="TimesNewRomanPSMT" w:hAnsi="Arial" w:cs="Arial"/>
          <w:lang w:eastAsia="en-US"/>
        </w:rPr>
        <w:t>e</w:t>
      </w:r>
      <w:r w:rsidRPr="00ED777A">
        <w:rPr>
          <w:rFonts w:ascii="Arial" w:eastAsia="TimesNewRomanPSMT" w:hAnsi="Arial" w:cs="Arial"/>
          <w:lang w:eastAsia="en-US"/>
        </w:rPr>
        <w:t>stę</w:t>
      </w:r>
      <w:r w:rsidRPr="00ED777A">
        <w:rPr>
          <w:rFonts w:ascii="Arial" w:eastAsia="TimesNewRomanPSMT" w:hAnsi="Arial" w:cs="Arial"/>
          <w:lang w:eastAsia="en-US"/>
        </w:rPr>
        <w:t>p</w:t>
      </w:r>
      <w:r w:rsidRPr="00ED777A">
        <w:rPr>
          <w:rFonts w:ascii="Arial" w:eastAsia="TimesNewRomanPSMT" w:hAnsi="Arial" w:cs="Arial"/>
          <w:lang w:eastAsia="en-US"/>
        </w:rPr>
        <w:t>stwa lub przestępstwa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 xml:space="preserve">skarbowego, o którym mowa w </w:t>
      </w:r>
      <w:r w:rsidRPr="00ED777A">
        <w:rPr>
          <w:rFonts w:ascii="Arial" w:eastAsiaTheme="minorHAnsi" w:hAnsi="Arial" w:cs="Arial"/>
          <w:lang w:eastAsia="en-US"/>
        </w:rPr>
        <w:t>art. 258 Kodeksu karnego,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b) </w:t>
      </w:r>
      <w:r w:rsidRPr="00ED777A">
        <w:rPr>
          <w:rFonts w:ascii="Arial" w:eastAsia="TimesNewRomanPSMT" w:hAnsi="Arial" w:cs="Arial"/>
          <w:lang w:eastAsia="en-US"/>
        </w:rPr>
        <w:t xml:space="preserve">handlu ludźmi, o którym mowa w </w:t>
      </w:r>
      <w:r w:rsidRPr="00ED777A">
        <w:rPr>
          <w:rFonts w:ascii="Arial" w:eastAsiaTheme="minorHAnsi" w:hAnsi="Arial" w:cs="Arial"/>
          <w:lang w:eastAsia="en-US"/>
        </w:rPr>
        <w:t>art. 189a Kodeksu karnego,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c) </w:t>
      </w:r>
      <w:r w:rsidRPr="00ED777A">
        <w:rPr>
          <w:rFonts w:ascii="Arial" w:eastAsia="TimesNewRomanPSMT" w:hAnsi="Arial" w:cs="Arial"/>
          <w:lang w:eastAsia="en-US"/>
        </w:rPr>
        <w:t xml:space="preserve">o którym mowa w </w:t>
      </w:r>
      <w:r w:rsidRPr="00ED777A">
        <w:rPr>
          <w:rFonts w:ascii="Arial" w:eastAsiaTheme="minorHAnsi" w:hAnsi="Arial" w:cs="Arial"/>
          <w:lang w:eastAsia="en-US"/>
        </w:rPr>
        <w:t>art. 228</w:t>
      </w:r>
      <w:r w:rsidRPr="00ED777A">
        <w:rPr>
          <w:rFonts w:ascii="Arial" w:eastAsia="TimesNewRomanPSMT" w:hAnsi="Arial" w:cs="Arial"/>
          <w:lang w:eastAsia="en-US"/>
        </w:rPr>
        <w:t>–</w:t>
      </w:r>
      <w:r w:rsidRPr="00ED777A">
        <w:rPr>
          <w:rFonts w:ascii="Arial" w:eastAsiaTheme="minorHAnsi" w:hAnsi="Arial" w:cs="Arial"/>
          <w:lang w:eastAsia="en-US"/>
        </w:rPr>
        <w:t>230a, art. 250a Kodeksu karnego, w art. 46</w:t>
      </w:r>
      <w:r w:rsidRPr="00ED777A">
        <w:rPr>
          <w:rFonts w:ascii="Arial" w:eastAsia="TimesNewRomanPSMT" w:hAnsi="Arial" w:cs="Arial"/>
          <w:lang w:eastAsia="en-US"/>
        </w:rPr>
        <w:t>–</w:t>
      </w:r>
      <w:r w:rsidRPr="00ED777A">
        <w:rPr>
          <w:rFonts w:ascii="Arial" w:eastAsiaTheme="minorHAnsi" w:hAnsi="Arial" w:cs="Arial"/>
          <w:lang w:eastAsia="en-US"/>
        </w:rPr>
        <w:t>48 ustawy z dnia 25 czerwca 2010 r.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 xml:space="preserve">o sporcie (Dz. U. z 2023 r. poz. 2048 </w:t>
      </w:r>
      <w:proofErr w:type="spellStart"/>
      <w:r w:rsidRPr="00ED777A">
        <w:rPr>
          <w:rFonts w:ascii="Arial" w:eastAsiaTheme="minorHAnsi" w:hAnsi="Arial" w:cs="Arial"/>
          <w:lang w:eastAsia="en-US"/>
        </w:rPr>
        <w:t>oraz</w:t>
      </w:r>
      <w:proofErr w:type="spellEnd"/>
      <w:r w:rsidRPr="00ED777A">
        <w:rPr>
          <w:rFonts w:ascii="Arial" w:eastAsiaTheme="minorHAnsi" w:hAnsi="Arial" w:cs="Arial"/>
          <w:lang w:eastAsia="en-US"/>
        </w:rPr>
        <w:t xml:space="preserve"> z 2024 r. poz. 1166) lub w art. 54 ust. 1</w:t>
      </w:r>
      <w:r w:rsidRPr="00ED777A">
        <w:rPr>
          <w:rFonts w:ascii="Arial" w:eastAsia="TimesNewRomanPSMT" w:hAnsi="Arial" w:cs="Arial"/>
          <w:lang w:eastAsia="en-US"/>
        </w:rPr>
        <w:t>–</w:t>
      </w:r>
      <w:r w:rsidRPr="00ED777A">
        <w:rPr>
          <w:rFonts w:ascii="Arial" w:eastAsiaTheme="minorHAnsi" w:hAnsi="Arial" w:cs="Arial"/>
          <w:lang w:eastAsia="en-US"/>
        </w:rPr>
        <w:t xml:space="preserve">4 ustawy z dnia 12 </w:t>
      </w:r>
      <w:proofErr w:type="spellStart"/>
      <w:r w:rsidRPr="00ED777A">
        <w:rPr>
          <w:rFonts w:ascii="Arial" w:eastAsiaTheme="minorHAnsi" w:hAnsi="Arial" w:cs="Arial"/>
          <w:lang w:eastAsia="en-US"/>
        </w:rPr>
        <w:t>maja</w:t>
      </w:r>
      <w:proofErr w:type="spellEnd"/>
      <w:r w:rsidRPr="00ED777A">
        <w:rPr>
          <w:rFonts w:ascii="Arial" w:eastAsiaTheme="minorHAnsi" w:hAnsi="Arial" w:cs="Arial"/>
          <w:lang w:eastAsia="en-US"/>
        </w:rPr>
        <w:t xml:space="preserve"> 2011 r.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 xml:space="preserve">o </w:t>
      </w:r>
      <w:r w:rsidRPr="00ED777A">
        <w:rPr>
          <w:rFonts w:ascii="Arial" w:eastAsia="TimesNewRomanPSMT" w:hAnsi="Arial" w:cs="Arial"/>
          <w:lang w:eastAsia="en-US"/>
        </w:rPr>
        <w:t>refundacji leków, środków spożywczych specjalnego przezn</w:t>
      </w:r>
      <w:r w:rsidRPr="00ED777A">
        <w:rPr>
          <w:rFonts w:ascii="Arial" w:eastAsia="TimesNewRomanPSMT" w:hAnsi="Arial" w:cs="Arial"/>
          <w:lang w:eastAsia="en-US"/>
        </w:rPr>
        <w:t>a</w:t>
      </w:r>
      <w:r w:rsidRPr="00ED777A">
        <w:rPr>
          <w:rFonts w:ascii="Arial" w:eastAsia="TimesNewRomanPSMT" w:hAnsi="Arial" w:cs="Arial"/>
          <w:lang w:eastAsia="en-US"/>
        </w:rPr>
        <w:t>czenia żywi</w:t>
      </w:r>
      <w:r w:rsidRPr="00ED777A">
        <w:rPr>
          <w:rFonts w:ascii="Arial" w:eastAsia="TimesNewRomanPSMT" w:hAnsi="Arial" w:cs="Arial"/>
          <w:lang w:eastAsia="en-US"/>
        </w:rPr>
        <w:t>e</w:t>
      </w:r>
      <w:r w:rsidRPr="00ED777A">
        <w:rPr>
          <w:rFonts w:ascii="Arial" w:eastAsia="TimesNewRomanPSMT" w:hAnsi="Arial" w:cs="Arial"/>
          <w:lang w:eastAsia="en-US"/>
        </w:rPr>
        <w:t xml:space="preserve">niowego </w:t>
      </w:r>
      <w:proofErr w:type="spellStart"/>
      <w:r w:rsidRPr="00ED777A">
        <w:rPr>
          <w:rFonts w:ascii="Arial" w:eastAsia="TimesNewRomanPSMT" w:hAnsi="Arial" w:cs="Arial"/>
          <w:lang w:eastAsia="en-US"/>
        </w:rPr>
        <w:t>oraz</w:t>
      </w:r>
      <w:proofErr w:type="spellEnd"/>
      <w:r w:rsidRPr="00ED777A">
        <w:rPr>
          <w:rFonts w:ascii="Arial" w:eastAsia="TimesNewRomanPSMT" w:hAnsi="Arial" w:cs="Arial"/>
          <w:lang w:eastAsia="en-US"/>
        </w:rPr>
        <w:t xml:space="preserve"> wyrobów medycznych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>(Dz. U. z 2024 r. poz. 930),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d) </w:t>
      </w:r>
      <w:r w:rsidRPr="00ED777A">
        <w:rPr>
          <w:rFonts w:ascii="Arial" w:eastAsia="TimesNewRomanPSMT" w:hAnsi="Arial" w:cs="Arial"/>
          <w:lang w:eastAsia="en-US"/>
        </w:rPr>
        <w:t xml:space="preserve">finansowania przestępstwa o </w:t>
      </w:r>
      <w:r w:rsidRPr="00ED777A">
        <w:rPr>
          <w:rFonts w:ascii="Arial" w:eastAsiaTheme="minorHAnsi" w:hAnsi="Arial" w:cs="Arial"/>
          <w:lang w:eastAsia="en-US"/>
        </w:rPr>
        <w:t xml:space="preserve">charakterze terrorystycznym, o </w:t>
      </w:r>
      <w:r w:rsidRPr="00ED777A">
        <w:rPr>
          <w:rFonts w:ascii="Arial" w:eastAsia="TimesNewRomanPSMT" w:hAnsi="Arial" w:cs="Arial"/>
          <w:lang w:eastAsia="en-US"/>
        </w:rPr>
        <w:t xml:space="preserve">którym mowa w </w:t>
      </w:r>
      <w:r w:rsidRPr="00ED777A">
        <w:rPr>
          <w:rFonts w:ascii="Arial" w:eastAsiaTheme="minorHAnsi" w:hAnsi="Arial" w:cs="Arial"/>
          <w:lang w:eastAsia="en-US"/>
        </w:rPr>
        <w:t>art. 165a Kode</w:t>
      </w:r>
      <w:r w:rsidRPr="00ED777A">
        <w:rPr>
          <w:rFonts w:ascii="Arial" w:eastAsiaTheme="minorHAnsi" w:hAnsi="Arial" w:cs="Arial"/>
          <w:lang w:eastAsia="en-US"/>
        </w:rPr>
        <w:t>k</w:t>
      </w:r>
      <w:r w:rsidRPr="00ED777A">
        <w:rPr>
          <w:rFonts w:ascii="Arial" w:eastAsiaTheme="minorHAnsi" w:hAnsi="Arial" w:cs="Arial"/>
          <w:lang w:eastAsia="en-US"/>
        </w:rPr>
        <w:t>su karnego, lub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przestępstwo udaremniania lub utrudniania stwierdzenia przestępnego poch</w:t>
      </w:r>
      <w:r w:rsidRPr="00ED777A">
        <w:rPr>
          <w:rFonts w:ascii="Arial" w:eastAsia="TimesNewRomanPSMT" w:hAnsi="Arial" w:cs="Arial"/>
          <w:lang w:eastAsia="en-US"/>
        </w:rPr>
        <w:t>o</w:t>
      </w:r>
      <w:r w:rsidRPr="00ED777A">
        <w:rPr>
          <w:rFonts w:ascii="Arial" w:eastAsia="TimesNewRomanPSMT" w:hAnsi="Arial" w:cs="Arial"/>
          <w:lang w:eastAsia="en-US"/>
        </w:rPr>
        <w:t>dzenia pieniędzy lub ukrywania ich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 xml:space="preserve">pochodzenia, o </w:t>
      </w:r>
      <w:r w:rsidRPr="00ED777A">
        <w:rPr>
          <w:rFonts w:ascii="Arial" w:eastAsia="TimesNewRomanPSMT" w:hAnsi="Arial" w:cs="Arial"/>
          <w:lang w:eastAsia="en-US"/>
        </w:rPr>
        <w:t xml:space="preserve">którym mowa w </w:t>
      </w:r>
      <w:r w:rsidRPr="00ED777A">
        <w:rPr>
          <w:rFonts w:ascii="Arial" w:eastAsiaTheme="minorHAnsi" w:hAnsi="Arial" w:cs="Arial"/>
          <w:lang w:eastAsia="en-US"/>
        </w:rPr>
        <w:t>art. 299 Kodeksu karnego,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e) o charakterze terrorystycznym, o </w:t>
      </w:r>
      <w:r w:rsidRPr="00ED777A">
        <w:rPr>
          <w:rFonts w:ascii="Arial" w:eastAsia="TimesNewRomanPSMT" w:hAnsi="Arial" w:cs="Arial"/>
          <w:lang w:eastAsia="en-US"/>
        </w:rPr>
        <w:t xml:space="preserve">którym mowa w </w:t>
      </w:r>
      <w:r w:rsidRPr="00ED777A">
        <w:rPr>
          <w:rFonts w:ascii="Arial" w:eastAsiaTheme="minorHAnsi" w:hAnsi="Arial" w:cs="Arial"/>
          <w:lang w:eastAsia="en-US"/>
        </w:rPr>
        <w:t xml:space="preserve">art. 115 </w:t>
      </w:r>
      <w:r w:rsidRPr="00ED777A">
        <w:rPr>
          <w:rFonts w:ascii="Arial" w:eastAsia="TimesNewRomanPSMT" w:hAnsi="Arial" w:cs="Arial"/>
          <w:lang w:eastAsia="en-US"/>
        </w:rPr>
        <w:t xml:space="preserve">§ </w:t>
      </w:r>
      <w:r w:rsidRPr="00ED777A">
        <w:rPr>
          <w:rFonts w:ascii="Arial" w:eastAsiaTheme="minorHAnsi" w:hAnsi="Arial" w:cs="Arial"/>
          <w:lang w:eastAsia="en-US"/>
        </w:rPr>
        <w:t xml:space="preserve">20 </w:t>
      </w:r>
      <w:r w:rsidRPr="00ED777A">
        <w:rPr>
          <w:rFonts w:ascii="Arial" w:eastAsia="TimesNewRomanPSMT" w:hAnsi="Arial" w:cs="Arial"/>
          <w:lang w:eastAsia="en-US"/>
        </w:rPr>
        <w:t>Kodeksu karnego, lub mające na celu popełnienie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tego przestępstwa,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f) </w:t>
      </w:r>
      <w:r w:rsidRPr="00ED777A">
        <w:rPr>
          <w:rFonts w:ascii="Arial" w:eastAsia="TimesNewRomanPSMT" w:hAnsi="Arial" w:cs="Arial"/>
          <w:lang w:eastAsia="en-US"/>
        </w:rPr>
        <w:t>powierzenia wykonywania pracy małoletniemu cudzoziemcowi</w:t>
      </w:r>
      <w:r w:rsidRPr="00ED777A">
        <w:rPr>
          <w:rFonts w:ascii="Arial" w:eastAsiaTheme="minorHAnsi" w:hAnsi="Arial" w:cs="Arial"/>
          <w:lang w:eastAsia="en-US"/>
        </w:rPr>
        <w:t xml:space="preserve">, o </w:t>
      </w:r>
      <w:r w:rsidRPr="00ED777A">
        <w:rPr>
          <w:rFonts w:ascii="Arial" w:eastAsia="TimesNewRomanPSMT" w:hAnsi="Arial" w:cs="Arial"/>
          <w:lang w:eastAsia="en-US"/>
        </w:rPr>
        <w:t xml:space="preserve">którym mowa w </w:t>
      </w:r>
      <w:r w:rsidRPr="00ED777A">
        <w:rPr>
          <w:rFonts w:ascii="Arial" w:eastAsiaTheme="minorHAnsi" w:hAnsi="Arial" w:cs="Arial"/>
          <w:lang w:eastAsia="en-US"/>
        </w:rPr>
        <w:t>art. 9 ust. 2 ustawy z dnia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 xml:space="preserve">15 czerwca 2012 r. o </w:t>
      </w:r>
      <w:r w:rsidRPr="00ED777A">
        <w:rPr>
          <w:rFonts w:ascii="Arial" w:eastAsia="TimesNewRomanPSMT" w:hAnsi="Arial" w:cs="Arial"/>
          <w:lang w:eastAsia="en-US"/>
        </w:rPr>
        <w:t>skutkach powierzania wykonywania pracy cudzoziemcom przebywającym wbrew przepisom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>na terytorium Rzeczypospolitej Polskiej (Dz. U. z 2021 r. poz. 1745),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g) przeciwko obrotowi gospodarczemu, o </w:t>
      </w:r>
      <w:r w:rsidRPr="00ED777A">
        <w:rPr>
          <w:rFonts w:ascii="Arial" w:eastAsia="TimesNewRomanPSMT" w:hAnsi="Arial" w:cs="Arial"/>
          <w:lang w:eastAsia="en-US"/>
        </w:rPr>
        <w:t xml:space="preserve">których mowa w </w:t>
      </w:r>
      <w:r w:rsidRPr="00ED777A">
        <w:rPr>
          <w:rFonts w:ascii="Arial" w:eastAsiaTheme="minorHAnsi" w:hAnsi="Arial" w:cs="Arial"/>
          <w:lang w:eastAsia="en-US"/>
        </w:rPr>
        <w:t>art. 296</w:t>
      </w:r>
      <w:r w:rsidRPr="00ED777A">
        <w:rPr>
          <w:rFonts w:ascii="Arial" w:eastAsia="TimesNewRomanPSMT" w:hAnsi="Arial" w:cs="Arial"/>
          <w:lang w:eastAsia="en-US"/>
        </w:rPr>
        <w:t>–</w:t>
      </w:r>
      <w:r w:rsidRPr="00ED777A">
        <w:rPr>
          <w:rFonts w:ascii="Arial" w:eastAsiaTheme="minorHAnsi" w:hAnsi="Arial" w:cs="Arial"/>
          <w:lang w:eastAsia="en-US"/>
        </w:rPr>
        <w:t xml:space="preserve">307 </w:t>
      </w:r>
      <w:r w:rsidRPr="00ED777A">
        <w:rPr>
          <w:rFonts w:ascii="Arial" w:eastAsia="TimesNewRomanPSMT" w:hAnsi="Arial" w:cs="Arial"/>
          <w:lang w:eastAsia="en-US"/>
        </w:rPr>
        <w:t>Kodeksu karnego, prz</w:t>
      </w:r>
      <w:r w:rsidRPr="00ED777A">
        <w:rPr>
          <w:rFonts w:ascii="Arial" w:eastAsia="TimesNewRomanPSMT" w:hAnsi="Arial" w:cs="Arial"/>
          <w:lang w:eastAsia="en-US"/>
        </w:rPr>
        <w:t>e</w:t>
      </w:r>
      <w:r w:rsidRPr="00ED777A">
        <w:rPr>
          <w:rFonts w:ascii="Arial" w:eastAsia="TimesNewRomanPSMT" w:hAnsi="Arial" w:cs="Arial"/>
          <w:lang w:eastAsia="en-US"/>
        </w:rPr>
        <w:t>stęp</w:t>
      </w:r>
      <w:r w:rsidRPr="00ED777A">
        <w:rPr>
          <w:rFonts w:ascii="Arial" w:eastAsiaTheme="minorHAnsi" w:hAnsi="Arial" w:cs="Arial"/>
          <w:lang w:eastAsia="en-US"/>
        </w:rPr>
        <w:t>stwo oszustwa,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 xml:space="preserve">o </w:t>
      </w:r>
      <w:r w:rsidRPr="00ED777A">
        <w:rPr>
          <w:rFonts w:ascii="Arial" w:eastAsia="TimesNewRomanPSMT" w:hAnsi="Arial" w:cs="Arial"/>
          <w:lang w:eastAsia="en-US"/>
        </w:rPr>
        <w:t xml:space="preserve">którym mowa w </w:t>
      </w:r>
      <w:r w:rsidRPr="00ED777A">
        <w:rPr>
          <w:rFonts w:ascii="Arial" w:eastAsiaTheme="minorHAnsi" w:hAnsi="Arial" w:cs="Arial"/>
          <w:lang w:eastAsia="en-US"/>
        </w:rPr>
        <w:t xml:space="preserve">art. 286 </w:t>
      </w:r>
      <w:r w:rsidRPr="00ED777A">
        <w:rPr>
          <w:rFonts w:ascii="Arial" w:eastAsia="TimesNewRomanPSMT" w:hAnsi="Arial" w:cs="Arial"/>
          <w:lang w:eastAsia="en-US"/>
        </w:rPr>
        <w:t>Kodeksu karnego, przestępstwo przeciwko wiar</w:t>
      </w:r>
      <w:r w:rsidRPr="00ED777A">
        <w:rPr>
          <w:rFonts w:ascii="Arial" w:eastAsia="TimesNewRomanPSMT" w:hAnsi="Arial" w:cs="Arial"/>
          <w:lang w:eastAsia="en-US"/>
        </w:rPr>
        <w:t>y</w:t>
      </w:r>
      <w:r w:rsidRPr="00ED777A">
        <w:rPr>
          <w:rFonts w:ascii="Arial" w:eastAsia="TimesNewRomanPSMT" w:hAnsi="Arial" w:cs="Arial"/>
          <w:lang w:eastAsia="en-US"/>
        </w:rPr>
        <w:t>godności dokumentów, o których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>mowa w art. 270</w:t>
      </w:r>
      <w:r w:rsidRPr="00ED777A">
        <w:rPr>
          <w:rFonts w:ascii="Arial" w:eastAsia="TimesNewRomanPSMT" w:hAnsi="Arial" w:cs="Arial"/>
          <w:lang w:eastAsia="en-US"/>
        </w:rPr>
        <w:t>–277d Kodeksu karnego, lub przestępstwo ska</w:t>
      </w:r>
      <w:r w:rsidRPr="00ED777A">
        <w:rPr>
          <w:rFonts w:ascii="Arial" w:eastAsia="TimesNewRomanPSMT" w:hAnsi="Arial" w:cs="Arial"/>
          <w:lang w:eastAsia="en-US"/>
        </w:rPr>
        <w:t>r</w:t>
      </w:r>
      <w:r w:rsidRPr="00ED777A">
        <w:rPr>
          <w:rFonts w:ascii="Arial" w:eastAsia="TimesNewRomanPSMT" w:hAnsi="Arial" w:cs="Arial"/>
          <w:lang w:eastAsia="en-US"/>
        </w:rPr>
        <w:t>bowe,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lastRenderedPageBreak/>
        <w:t xml:space="preserve">h) </w:t>
      </w:r>
      <w:r w:rsidRPr="00ED777A">
        <w:rPr>
          <w:rFonts w:ascii="Arial" w:eastAsia="TimesNewRomanPSMT" w:hAnsi="Arial" w:cs="Arial"/>
          <w:lang w:eastAsia="en-US"/>
        </w:rPr>
        <w:t xml:space="preserve">o którym mowa w </w:t>
      </w:r>
      <w:r w:rsidRPr="00ED777A">
        <w:rPr>
          <w:rFonts w:ascii="Arial" w:eastAsiaTheme="minorHAnsi" w:hAnsi="Arial" w:cs="Arial"/>
          <w:lang w:eastAsia="en-US"/>
        </w:rPr>
        <w:t>art. 9 ust. 1 i 3 lub art. 10 ustawy z dnia 15 czerwca 2012 r. o skutkach powi</w:t>
      </w:r>
      <w:r w:rsidRPr="00ED777A">
        <w:rPr>
          <w:rFonts w:ascii="Arial" w:eastAsiaTheme="minorHAnsi" w:hAnsi="Arial" w:cs="Arial"/>
          <w:lang w:eastAsia="en-US"/>
        </w:rPr>
        <w:t>e</w:t>
      </w:r>
      <w:r w:rsidRPr="00ED777A">
        <w:rPr>
          <w:rFonts w:ascii="Arial" w:eastAsiaTheme="minorHAnsi" w:hAnsi="Arial" w:cs="Arial"/>
          <w:lang w:eastAsia="en-US"/>
        </w:rPr>
        <w:t>rzania wykony</w:t>
      </w:r>
      <w:r w:rsidRPr="00ED777A">
        <w:rPr>
          <w:rFonts w:ascii="Arial" w:eastAsia="TimesNewRomanPSMT" w:hAnsi="Arial" w:cs="Arial"/>
          <w:lang w:eastAsia="en-US"/>
        </w:rPr>
        <w:t>wania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pracy cudzoziemcom przebywającym wbrew przepisom na terytorium Rz</w:t>
      </w:r>
      <w:r w:rsidRPr="00ED777A">
        <w:rPr>
          <w:rFonts w:ascii="Arial" w:eastAsia="TimesNewRomanPSMT" w:hAnsi="Arial" w:cs="Arial"/>
          <w:lang w:eastAsia="en-US"/>
        </w:rPr>
        <w:t>e</w:t>
      </w:r>
      <w:r w:rsidRPr="00ED777A">
        <w:rPr>
          <w:rFonts w:ascii="Arial" w:eastAsia="TimesNewRomanPSMT" w:hAnsi="Arial" w:cs="Arial"/>
          <w:lang w:eastAsia="en-US"/>
        </w:rPr>
        <w:t>czyposp</w:t>
      </w:r>
      <w:r w:rsidRPr="00ED777A">
        <w:rPr>
          <w:rFonts w:ascii="Arial" w:eastAsia="TimesNewRomanPSMT" w:hAnsi="Arial" w:cs="Arial"/>
          <w:lang w:eastAsia="en-US"/>
        </w:rPr>
        <w:t>o</w:t>
      </w:r>
      <w:r w:rsidRPr="00ED777A">
        <w:rPr>
          <w:rFonts w:ascii="Arial" w:eastAsia="TimesNewRomanPSMT" w:hAnsi="Arial" w:cs="Arial"/>
          <w:lang w:eastAsia="en-US"/>
        </w:rPr>
        <w:t>litej Polskiej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ED777A">
        <w:rPr>
          <w:rFonts w:ascii="Arial" w:eastAsia="TimesNewRomanPSMT" w:hAnsi="Arial" w:cs="Arial"/>
          <w:lang w:eastAsia="en-US"/>
        </w:rPr>
        <w:t xml:space="preserve">– lub za odpowiedni czyn zabroniony określony w </w:t>
      </w:r>
      <w:r w:rsidRPr="00ED777A">
        <w:rPr>
          <w:rFonts w:ascii="Arial" w:eastAsiaTheme="minorHAnsi" w:hAnsi="Arial" w:cs="Arial"/>
          <w:lang w:eastAsia="en-US"/>
        </w:rPr>
        <w:t>przepisach prawa obcego;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2) </w:t>
      </w:r>
      <w:r w:rsidRPr="00ED777A">
        <w:rPr>
          <w:rFonts w:ascii="Arial" w:eastAsia="TimesNewRomanPSMT" w:hAnsi="Arial" w:cs="Arial"/>
          <w:lang w:eastAsia="en-US"/>
        </w:rPr>
        <w:t>jeżeli urzędującego członka jego organu zarządzającego lub nadzorczego, wspólnika spółki w spó</w:t>
      </w:r>
      <w:r w:rsidRPr="00ED777A">
        <w:rPr>
          <w:rFonts w:ascii="Arial" w:eastAsia="TimesNewRomanPSMT" w:hAnsi="Arial" w:cs="Arial"/>
          <w:lang w:eastAsia="en-US"/>
        </w:rPr>
        <w:t>ł</w:t>
      </w:r>
      <w:r w:rsidRPr="00ED777A">
        <w:rPr>
          <w:rFonts w:ascii="Arial" w:eastAsia="TimesNewRomanPSMT" w:hAnsi="Arial" w:cs="Arial"/>
          <w:lang w:eastAsia="en-US"/>
        </w:rPr>
        <w:t>ce jawnej lub part</w:t>
      </w:r>
      <w:r w:rsidRPr="00ED777A">
        <w:rPr>
          <w:rFonts w:ascii="Arial" w:eastAsiaTheme="minorHAnsi" w:hAnsi="Arial" w:cs="Arial"/>
          <w:lang w:eastAsia="en-US"/>
        </w:rPr>
        <w:t>nerskiej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 xml:space="preserve">albo </w:t>
      </w:r>
      <w:proofErr w:type="spellStart"/>
      <w:r w:rsidRPr="00ED777A">
        <w:rPr>
          <w:rFonts w:ascii="Arial" w:eastAsiaTheme="minorHAnsi" w:hAnsi="Arial" w:cs="Arial"/>
          <w:lang w:eastAsia="en-US"/>
        </w:rPr>
        <w:t>komplementariusza</w:t>
      </w:r>
      <w:proofErr w:type="spellEnd"/>
      <w:r w:rsidRPr="00ED777A">
        <w:rPr>
          <w:rFonts w:ascii="Arial" w:eastAsiaTheme="minorHAnsi" w:hAnsi="Arial" w:cs="Arial"/>
          <w:lang w:eastAsia="en-US"/>
        </w:rPr>
        <w:t xml:space="preserve"> w </w:t>
      </w:r>
      <w:r w:rsidRPr="00ED777A">
        <w:rPr>
          <w:rFonts w:ascii="Arial" w:eastAsia="TimesNewRomanPSMT" w:hAnsi="Arial" w:cs="Arial"/>
          <w:lang w:eastAsia="en-US"/>
        </w:rPr>
        <w:t>spółce komandytowej lub komandytowo</w:t>
      </w:r>
      <w:r w:rsidRPr="00ED777A">
        <w:rPr>
          <w:rFonts w:ascii="Arial" w:eastAsiaTheme="minorHAnsi" w:hAnsi="Arial" w:cs="Arial"/>
          <w:lang w:eastAsia="en-US"/>
        </w:rPr>
        <w:t>-akcyjnej lub prokurenta praw</w:t>
      </w:r>
      <w:r w:rsidRPr="00ED777A">
        <w:rPr>
          <w:rFonts w:ascii="Arial" w:eastAsiaTheme="minorHAnsi" w:hAnsi="Arial" w:cs="Arial"/>
          <w:lang w:eastAsia="en-US"/>
        </w:rPr>
        <w:t>o</w:t>
      </w:r>
      <w:r w:rsidRPr="00ED777A">
        <w:rPr>
          <w:rFonts w:ascii="Arial" w:eastAsiaTheme="minorHAnsi" w:hAnsi="Arial" w:cs="Arial"/>
          <w:lang w:eastAsia="en-US"/>
        </w:rPr>
        <w:t>mocnie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 xml:space="preserve">skazano za przestępstwo, o którym mowa w </w:t>
      </w:r>
      <w:proofErr w:type="spellStart"/>
      <w:r w:rsidRPr="00ED777A">
        <w:rPr>
          <w:rFonts w:ascii="Arial" w:eastAsiaTheme="minorHAnsi" w:hAnsi="Arial" w:cs="Arial"/>
          <w:lang w:eastAsia="en-US"/>
        </w:rPr>
        <w:t>pkt</w:t>
      </w:r>
      <w:proofErr w:type="spellEnd"/>
      <w:r w:rsidRPr="00ED777A">
        <w:rPr>
          <w:rFonts w:ascii="Arial" w:eastAsiaTheme="minorHAnsi" w:hAnsi="Arial" w:cs="Arial"/>
          <w:lang w:eastAsia="en-US"/>
        </w:rPr>
        <w:t xml:space="preserve"> 1;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3) </w:t>
      </w:r>
      <w:r w:rsidRPr="00ED777A">
        <w:rPr>
          <w:rFonts w:ascii="Arial" w:eastAsia="TimesNewRomanPSMT" w:hAnsi="Arial" w:cs="Arial"/>
          <w:lang w:eastAsia="en-US"/>
        </w:rPr>
        <w:t xml:space="preserve">wobec którego wydano prawomocny wyrok sądu lub ostateczną decyzję administracyjną o </w:t>
      </w:r>
      <w:r w:rsidRPr="00ED777A">
        <w:rPr>
          <w:rFonts w:ascii="Arial" w:eastAsiaTheme="minorHAnsi" w:hAnsi="Arial" w:cs="Arial"/>
          <w:lang w:eastAsia="en-US"/>
        </w:rPr>
        <w:t>zal</w:t>
      </w:r>
      <w:r w:rsidRPr="00ED777A">
        <w:rPr>
          <w:rFonts w:ascii="Arial" w:eastAsiaTheme="minorHAnsi" w:hAnsi="Arial" w:cs="Arial"/>
          <w:lang w:eastAsia="en-US"/>
        </w:rPr>
        <w:t>e</w:t>
      </w:r>
      <w:r w:rsidRPr="00ED777A">
        <w:rPr>
          <w:rFonts w:ascii="Arial" w:eastAsiaTheme="minorHAnsi" w:hAnsi="Arial" w:cs="Arial"/>
          <w:lang w:eastAsia="en-US"/>
        </w:rPr>
        <w:t>ganiu z uiszczeniem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podatków, opłat lub składek na ubezpieczenie społeczne lub zdrowotne, ch</w:t>
      </w:r>
      <w:r w:rsidRPr="00ED777A">
        <w:rPr>
          <w:rFonts w:ascii="Arial" w:eastAsia="TimesNewRomanPSMT" w:hAnsi="Arial" w:cs="Arial"/>
          <w:lang w:eastAsia="en-US"/>
        </w:rPr>
        <w:t>y</w:t>
      </w:r>
      <w:r w:rsidRPr="00ED777A">
        <w:rPr>
          <w:rFonts w:ascii="Arial" w:eastAsia="TimesNewRomanPSMT" w:hAnsi="Arial" w:cs="Arial"/>
          <w:lang w:eastAsia="en-US"/>
        </w:rPr>
        <w:t>ba że wykonawca odpowiednio przed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upływem terminu do składania wniosków o dopuszczenie do udzi</w:t>
      </w:r>
      <w:r w:rsidRPr="00ED777A">
        <w:rPr>
          <w:rFonts w:ascii="Arial" w:eastAsia="TimesNewRomanPSMT" w:hAnsi="Arial" w:cs="Arial"/>
          <w:lang w:eastAsia="en-US"/>
        </w:rPr>
        <w:t>a</w:t>
      </w:r>
      <w:r w:rsidRPr="00ED777A">
        <w:rPr>
          <w:rFonts w:ascii="Arial" w:eastAsia="TimesNewRomanPSMT" w:hAnsi="Arial" w:cs="Arial"/>
          <w:lang w:eastAsia="en-US"/>
        </w:rPr>
        <w:t xml:space="preserve">łu </w:t>
      </w:r>
      <w:r w:rsidRPr="00ED777A">
        <w:rPr>
          <w:rFonts w:ascii="Arial" w:eastAsiaTheme="minorHAnsi" w:hAnsi="Arial" w:cs="Arial"/>
          <w:lang w:eastAsia="en-US"/>
        </w:rPr>
        <w:t xml:space="preserve">w </w:t>
      </w:r>
      <w:r w:rsidRPr="00ED777A">
        <w:rPr>
          <w:rFonts w:ascii="Arial" w:eastAsia="TimesNewRomanPSMT" w:hAnsi="Arial" w:cs="Arial"/>
          <w:lang w:eastAsia="en-US"/>
        </w:rPr>
        <w:t>postępowaniu albo przed upływem terminu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składania ofert dokonał płatności należnych podatków, opłat lub składek na ubezpieczenie społeczne lub zdrowotne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 xml:space="preserve">wraz z </w:t>
      </w:r>
      <w:r w:rsidRPr="00ED777A">
        <w:rPr>
          <w:rFonts w:ascii="Arial" w:eastAsia="TimesNewRomanPSMT" w:hAnsi="Arial" w:cs="Arial"/>
          <w:lang w:eastAsia="en-US"/>
        </w:rPr>
        <w:t>odsetkami lub grzywnami lub zawarł wiążące porozumienie w sprawie spłaty tych należn</w:t>
      </w:r>
      <w:r w:rsidRPr="00ED777A">
        <w:rPr>
          <w:rFonts w:ascii="Arial" w:eastAsia="TimesNewRomanPSMT" w:hAnsi="Arial" w:cs="Arial"/>
          <w:lang w:eastAsia="en-US"/>
        </w:rPr>
        <w:t>o</w:t>
      </w:r>
      <w:r w:rsidRPr="00ED777A">
        <w:rPr>
          <w:rFonts w:ascii="Arial" w:eastAsia="TimesNewRomanPSMT" w:hAnsi="Arial" w:cs="Arial"/>
          <w:lang w:eastAsia="en-US"/>
        </w:rPr>
        <w:t>ści;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4) </w:t>
      </w:r>
      <w:r w:rsidRPr="00ED777A">
        <w:rPr>
          <w:rFonts w:ascii="Arial" w:eastAsia="TimesNewRomanPSMT" w:hAnsi="Arial" w:cs="Arial"/>
          <w:lang w:eastAsia="en-US"/>
        </w:rPr>
        <w:t xml:space="preserve">wobec którego </w:t>
      </w:r>
      <w:r w:rsidRPr="00ED777A">
        <w:rPr>
          <w:rFonts w:ascii="Arial" w:eastAsiaTheme="minorHAnsi" w:hAnsi="Arial" w:cs="Arial"/>
          <w:lang w:eastAsia="en-US"/>
        </w:rPr>
        <w:t xml:space="preserve">prawomocnie </w:t>
      </w:r>
      <w:r w:rsidRPr="00ED777A">
        <w:rPr>
          <w:rFonts w:ascii="Arial" w:eastAsia="TimesNewRomanPSMT" w:hAnsi="Arial" w:cs="Arial"/>
          <w:lang w:eastAsia="en-US"/>
        </w:rPr>
        <w:t xml:space="preserve">orzeczono zakaz ubiegania się o zamówienia </w:t>
      </w:r>
      <w:proofErr w:type="spellStart"/>
      <w:r w:rsidRPr="00ED777A">
        <w:rPr>
          <w:rFonts w:ascii="Arial" w:eastAsia="TimesNewRomanPSMT" w:hAnsi="Arial" w:cs="Arial"/>
          <w:lang w:eastAsia="en-US"/>
        </w:rPr>
        <w:t>publiczne</w:t>
      </w:r>
      <w:proofErr w:type="spellEnd"/>
      <w:r w:rsidRPr="00ED777A">
        <w:rPr>
          <w:rFonts w:ascii="Arial" w:eastAsia="TimesNewRomanPSMT" w:hAnsi="Arial" w:cs="Arial"/>
          <w:lang w:eastAsia="en-US"/>
        </w:rPr>
        <w:t>;</w:t>
      </w:r>
    </w:p>
    <w:p w:rsidR="00ED777A" w:rsidRP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>5) j</w:t>
      </w:r>
      <w:r w:rsidRPr="00ED777A">
        <w:rPr>
          <w:rFonts w:ascii="Arial" w:eastAsia="TimesNewRomanPSMT" w:hAnsi="Arial" w:cs="Arial"/>
          <w:lang w:eastAsia="en-US"/>
        </w:rPr>
        <w:t>eżeli zamawiający może stwierdzić, na podstawie wiarygodnych przesłanek, że wykonawca z</w:t>
      </w:r>
      <w:r w:rsidRPr="00ED777A">
        <w:rPr>
          <w:rFonts w:ascii="Arial" w:eastAsia="TimesNewRomanPSMT" w:hAnsi="Arial" w:cs="Arial"/>
          <w:lang w:eastAsia="en-US"/>
        </w:rPr>
        <w:t>a</w:t>
      </w:r>
      <w:r w:rsidRPr="00ED777A">
        <w:rPr>
          <w:rFonts w:ascii="Arial" w:eastAsia="TimesNewRomanPSMT" w:hAnsi="Arial" w:cs="Arial"/>
          <w:lang w:eastAsia="en-US"/>
        </w:rPr>
        <w:t xml:space="preserve">warł z </w:t>
      </w:r>
      <w:r w:rsidRPr="00ED777A">
        <w:rPr>
          <w:rFonts w:ascii="Arial" w:eastAsiaTheme="minorHAnsi" w:hAnsi="Arial" w:cs="Arial"/>
          <w:lang w:eastAsia="en-US"/>
        </w:rPr>
        <w:t>innymi wykonawcami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 xml:space="preserve">porozumienie mające na celu zakłócenie konkurencji, w </w:t>
      </w:r>
      <w:r w:rsidRPr="00ED777A">
        <w:rPr>
          <w:rFonts w:ascii="Arial" w:eastAsiaTheme="minorHAnsi" w:hAnsi="Arial" w:cs="Arial"/>
          <w:lang w:eastAsia="en-US"/>
        </w:rPr>
        <w:t>szcz</w:t>
      </w:r>
      <w:r w:rsidRPr="00ED777A">
        <w:rPr>
          <w:rFonts w:ascii="Arial" w:eastAsia="TimesNewRomanPSMT" w:hAnsi="Arial" w:cs="Arial"/>
          <w:lang w:eastAsia="en-US"/>
        </w:rPr>
        <w:t>ególności jeżeli należąc do tej samej grupy kapitałowej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 xml:space="preserve">w </w:t>
      </w:r>
      <w:r w:rsidRPr="00ED777A">
        <w:rPr>
          <w:rFonts w:ascii="Arial" w:eastAsiaTheme="minorHAnsi" w:hAnsi="Arial" w:cs="Arial"/>
          <w:lang w:eastAsia="en-US"/>
        </w:rPr>
        <w:t xml:space="preserve">rozumieniu ustawy z dnia 16 lutego 2007 r. o ochronie konkurencji i </w:t>
      </w:r>
      <w:r w:rsidRPr="00ED777A">
        <w:rPr>
          <w:rFonts w:ascii="Arial" w:eastAsia="TimesNewRomanPSMT" w:hAnsi="Arial" w:cs="Arial"/>
          <w:lang w:eastAsia="en-US"/>
        </w:rPr>
        <w:t>konsumentów</w:t>
      </w:r>
      <w:r w:rsidRPr="00ED777A">
        <w:rPr>
          <w:rFonts w:ascii="Arial" w:eastAsiaTheme="minorHAnsi" w:hAnsi="Arial" w:cs="Arial"/>
          <w:lang w:eastAsia="en-US"/>
        </w:rPr>
        <w:t xml:space="preserve">, </w:t>
      </w:r>
      <w:r w:rsidRPr="00ED777A">
        <w:rPr>
          <w:rFonts w:ascii="Arial" w:eastAsia="TimesNewRomanPSMT" w:hAnsi="Arial" w:cs="Arial"/>
          <w:lang w:eastAsia="en-US"/>
        </w:rPr>
        <w:t>złożyli odrębne oferty,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oferty częściowe lub wnioski o d</w:t>
      </w:r>
      <w:r w:rsidRPr="00ED777A">
        <w:rPr>
          <w:rFonts w:ascii="Arial" w:eastAsia="TimesNewRomanPSMT" w:hAnsi="Arial" w:cs="Arial"/>
          <w:lang w:eastAsia="en-US"/>
        </w:rPr>
        <w:t>o</w:t>
      </w:r>
      <w:r w:rsidRPr="00ED777A">
        <w:rPr>
          <w:rFonts w:ascii="Arial" w:eastAsia="TimesNewRomanPSMT" w:hAnsi="Arial" w:cs="Arial"/>
          <w:lang w:eastAsia="en-US"/>
        </w:rPr>
        <w:t>puszczenie do udziału w postępowaniu, chyba że wykażą, że pr</w:t>
      </w:r>
      <w:r w:rsidRPr="00ED777A">
        <w:rPr>
          <w:rFonts w:ascii="Arial" w:eastAsiaTheme="minorHAnsi" w:hAnsi="Arial" w:cs="Arial"/>
          <w:lang w:eastAsia="en-US"/>
        </w:rPr>
        <w:t>zygotowali te oferty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lub wnioski niezależnie od si</w:t>
      </w:r>
      <w:r w:rsidRPr="00ED777A">
        <w:rPr>
          <w:rFonts w:ascii="Arial" w:eastAsia="TimesNewRomanPSMT" w:hAnsi="Arial" w:cs="Arial"/>
          <w:lang w:eastAsia="en-US"/>
        </w:rPr>
        <w:t>e</w:t>
      </w:r>
      <w:r w:rsidRPr="00ED777A">
        <w:rPr>
          <w:rFonts w:ascii="Arial" w:eastAsia="TimesNewRomanPSMT" w:hAnsi="Arial" w:cs="Arial"/>
          <w:lang w:eastAsia="en-US"/>
        </w:rPr>
        <w:t>bie;</w:t>
      </w:r>
    </w:p>
    <w:p w:rsid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ED777A">
        <w:rPr>
          <w:rFonts w:ascii="Arial" w:eastAsiaTheme="minorHAnsi" w:hAnsi="Arial" w:cs="Arial"/>
          <w:lang w:eastAsia="en-US"/>
        </w:rPr>
        <w:t xml:space="preserve">6) </w:t>
      </w:r>
      <w:r w:rsidRPr="00ED777A">
        <w:rPr>
          <w:rFonts w:ascii="Arial" w:eastAsia="TimesNewRomanPSMT" w:hAnsi="Arial" w:cs="Arial"/>
          <w:lang w:eastAsia="en-US"/>
        </w:rPr>
        <w:t xml:space="preserve">jeżeli, w </w:t>
      </w:r>
      <w:r w:rsidRPr="00ED777A">
        <w:rPr>
          <w:rFonts w:ascii="Arial" w:eastAsiaTheme="minorHAnsi" w:hAnsi="Arial" w:cs="Arial"/>
          <w:lang w:eastAsia="en-US"/>
        </w:rPr>
        <w:t xml:space="preserve">przypadkach, o </w:t>
      </w:r>
      <w:r w:rsidRPr="00ED777A">
        <w:rPr>
          <w:rFonts w:ascii="Arial" w:eastAsia="TimesNewRomanPSMT" w:hAnsi="Arial" w:cs="Arial"/>
          <w:lang w:eastAsia="en-US"/>
        </w:rPr>
        <w:t xml:space="preserve">których mowa w </w:t>
      </w:r>
      <w:r w:rsidRPr="00ED777A">
        <w:rPr>
          <w:rFonts w:ascii="Arial" w:eastAsiaTheme="minorHAnsi" w:hAnsi="Arial" w:cs="Arial"/>
          <w:lang w:eastAsia="en-US"/>
        </w:rPr>
        <w:t xml:space="preserve">art. 85 ust. </w:t>
      </w:r>
      <w:r w:rsidRPr="00ED777A">
        <w:rPr>
          <w:rFonts w:ascii="Arial" w:eastAsia="TimesNewRomanPSMT" w:hAnsi="Arial" w:cs="Arial"/>
          <w:lang w:eastAsia="en-US"/>
        </w:rPr>
        <w:t>1, doszło do zakłócenia konkurencji wynik</w:t>
      </w:r>
      <w:r w:rsidRPr="00ED777A">
        <w:rPr>
          <w:rFonts w:ascii="Arial" w:eastAsia="TimesNewRomanPSMT" w:hAnsi="Arial" w:cs="Arial"/>
          <w:lang w:eastAsia="en-US"/>
        </w:rPr>
        <w:t>a</w:t>
      </w:r>
      <w:r w:rsidRPr="00ED777A">
        <w:rPr>
          <w:rFonts w:ascii="Arial" w:eastAsia="TimesNewRomanPSMT" w:hAnsi="Arial" w:cs="Arial"/>
          <w:lang w:eastAsia="en-US"/>
        </w:rPr>
        <w:t>jącego z wcześniej</w:t>
      </w:r>
      <w:r w:rsidRPr="00ED777A">
        <w:rPr>
          <w:rFonts w:ascii="Arial" w:eastAsiaTheme="minorHAnsi" w:hAnsi="Arial" w:cs="Arial"/>
          <w:lang w:eastAsia="en-US"/>
        </w:rPr>
        <w:t>szego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zaangażowania tego wykonawcy lub podmiotu, który należy z wykona</w:t>
      </w:r>
      <w:r w:rsidRPr="00ED777A">
        <w:rPr>
          <w:rFonts w:ascii="Arial" w:eastAsia="TimesNewRomanPSMT" w:hAnsi="Arial" w:cs="Arial"/>
          <w:lang w:eastAsia="en-US"/>
        </w:rPr>
        <w:t>w</w:t>
      </w:r>
      <w:r w:rsidRPr="00ED777A">
        <w:rPr>
          <w:rFonts w:ascii="Arial" w:eastAsia="TimesNewRomanPSMT" w:hAnsi="Arial" w:cs="Arial"/>
          <w:lang w:eastAsia="en-US"/>
        </w:rPr>
        <w:t xml:space="preserve">cą do tej samej grupy kapitałowej w </w:t>
      </w:r>
      <w:r w:rsidRPr="00ED777A">
        <w:rPr>
          <w:rFonts w:ascii="Arial" w:eastAsiaTheme="minorHAnsi" w:hAnsi="Arial" w:cs="Arial"/>
          <w:lang w:eastAsia="en-US"/>
        </w:rPr>
        <w:t>rozumieniu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>ustawy z dnia 16 lutego 2007 r. o ochronie konk</w:t>
      </w:r>
      <w:r w:rsidRPr="00ED777A">
        <w:rPr>
          <w:rFonts w:ascii="Arial" w:eastAsiaTheme="minorHAnsi" w:hAnsi="Arial" w:cs="Arial"/>
          <w:lang w:eastAsia="en-US"/>
        </w:rPr>
        <w:t>u</w:t>
      </w:r>
      <w:r w:rsidRPr="00ED777A">
        <w:rPr>
          <w:rFonts w:ascii="Arial" w:eastAsiaTheme="minorHAnsi" w:hAnsi="Arial" w:cs="Arial"/>
          <w:lang w:eastAsia="en-US"/>
        </w:rPr>
        <w:t xml:space="preserve">rencji i </w:t>
      </w:r>
      <w:r w:rsidRPr="00ED777A">
        <w:rPr>
          <w:rFonts w:ascii="Arial" w:eastAsia="TimesNewRomanPSMT" w:hAnsi="Arial" w:cs="Arial"/>
          <w:lang w:eastAsia="en-US"/>
        </w:rPr>
        <w:t>konsumentów, chyba że spowodowane tym zakłócenie</w:t>
      </w:r>
      <w:r>
        <w:rPr>
          <w:rFonts w:ascii="Arial" w:eastAsia="TimesNewRomanPSMT" w:hAnsi="Arial" w:cs="Arial"/>
          <w:lang w:eastAsia="en-US"/>
        </w:rPr>
        <w:t xml:space="preserve"> </w:t>
      </w:r>
      <w:r w:rsidRPr="00ED777A">
        <w:rPr>
          <w:rFonts w:ascii="Arial" w:eastAsia="TimesNewRomanPSMT" w:hAnsi="Arial" w:cs="Arial"/>
          <w:lang w:eastAsia="en-US"/>
        </w:rPr>
        <w:t>konkurencji może być wyeliminow</w:t>
      </w:r>
      <w:r w:rsidRPr="00ED777A">
        <w:rPr>
          <w:rFonts w:ascii="Arial" w:eastAsia="TimesNewRomanPSMT" w:hAnsi="Arial" w:cs="Arial"/>
          <w:lang w:eastAsia="en-US"/>
        </w:rPr>
        <w:t>a</w:t>
      </w:r>
      <w:r w:rsidRPr="00ED777A">
        <w:rPr>
          <w:rFonts w:ascii="Arial" w:eastAsia="TimesNewRomanPSMT" w:hAnsi="Arial" w:cs="Arial"/>
          <w:lang w:eastAsia="en-US"/>
        </w:rPr>
        <w:t xml:space="preserve">ne w inny sposób niż przez wykluczenie wykonawcy z udziału w </w:t>
      </w:r>
      <w:r w:rsidRPr="00ED777A">
        <w:rPr>
          <w:rFonts w:ascii="Arial" w:eastAsiaTheme="minorHAnsi" w:hAnsi="Arial" w:cs="Arial"/>
          <w:lang w:eastAsia="en-US"/>
        </w:rPr>
        <w:t>po</w:t>
      </w:r>
      <w:r w:rsidRPr="00ED777A">
        <w:rPr>
          <w:rFonts w:ascii="Arial" w:eastAsia="TimesNewRomanPSMT" w:hAnsi="Arial" w:cs="Arial"/>
          <w:lang w:eastAsia="en-US"/>
        </w:rPr>
        <w:t>stę</w:t>
      </w:r>
      <w:r w:rsidRPr="00ED777A">
        <w:rPr>
          <w:rFonts w:ascii="Arial" w:eastAsiaTheme="minorHAnsi" w:hAnsi="Arial" w:cs="Arial"/>
          <w:lang w:eastAsia="en-US"/>
        </w:rPr>
        <w:t>powaniu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777A">
        <w:rPr>
          <w:rFonts w:ascii="Arial" w:eastAsiaTheme="minorHAnsi" w:hAnsi="Arial" w:cs="Arial"/>
          <w:lang w:eastAsia="en-US"/>
        </w:rPr>
        <w:t>o udzie</w:t>
      </w:r>
      <w:r w:rsidRPr="00ED777A">
        <w:rPr>
          <w:rFonts w:ascii="Arial" w:eastAsia="TimesNewRomanPSMT" w:hAnsi="Arial" w:cs="Arial"/>
          <w:lang w:eastAsia="en-US"/>
        </w:rPr>
        <w:t xml:space="preserve">lenie </w:t>
      </w:r>
    </w:p>
    <w:p w:rsidR="00ED777A" w:rsidRDefault="00ED777A" w:rsidP="00ED777A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PSMT" w:hAnsi="Arial" w:cs="Arial"/>
          <w:lang w:eastAsia="en-US"/>
        </w:rPr>
      </w:pPr>
      <w:r w:rsidRPr="00ED777A">
        <w:rPr>
          <w:rFonts w:ascii="Arial" w:eastAsia="TimesNewRomanPSMT" w:hAnsi="Arial" w:cs="Arial"/>
          <w:lang w:eastAsia="en-US"/>
        </w:rPr>
        <w:t>zam</w:t>
      </w:r>
      <w:r w:rsidRPr="00ED777A">
        <w:rPr>
          <w:rFonts w:ascii="Arial" w:eastAsia="TimesNewRomanPSMT" w:hAnsi="Arial" w:cs="Arial"/>
          <w:lang w:eastAsia="en-US"/>
        </w:rPr>
        <w:t>ó</w:t>
      </w:r>
      <w:r w:rsidRPr="00ED777A">
        <w:rPr>
          <w:rFonts w:ascii="Arial" w:eastAsia="TimesNewRomanPSMT" w:hAnsi="Arial" w:cs="Arial"/>
          <w:lang w:eastAsia="en-US"/>
        </w:rPr>
        <w:t>wienia.</w:t>
      </w:r>
    </w:p>
    <w:p w:rsidR="00ED777A" w:rsidRDefault="00ED777A" w:rsidP="00ED777A">
      <w:pPr>
        <w:suppressAutoHyphens w:val="0"/>
        <w:spacing w:line="360" w:lineRule="auto"/>
        <w:rPr>
          <w:rFonts w:ascii="Arial" w:eastAsia="TimesNewRomanPSMT" w:hAnsi="Arial" w:cs="Arial"/>
          <w:lang w:eastAsia="en-US"/>
        </w:rPr>
      </w:pPr>
    </w:p>
    <w:p w:rsidR="00286538" w:rsidRPr="009138F4" w:rsidRDefault="00286538" w:rsidP="00ED777A">
      <w:pPr>
        <w:suppressAutoHyphens w:val="0"/>
        <w:spacing w:line="360" w:lineRule="auto"/>
        <w:rPr>
          <w:rFonts w:ascii="Arial" w:hAnsi="Arial" w:cs="Arial"/>
          <w:i/>
        </w:rPr>
      </w:pPr>
      <w:r w:rsidRPr="00ED777A">
        <w:rPr>
          <w:rFonts w:ascii="Arial" w:hAnsi="Arial" w:cs="Arial"/>
          <w:i/>
        </w:rPr>
        <w:t>art. 7 ust. 1 Ustawy z dnia 13 kwietnia 2022 r. o szczególnych rozwiązaniach</w:t>
      </w:r>
      <w:r w:rsidRPr="009138F4">
        <w:rPr>
          <w:rFonts w:ascii="Arial" w:hAnsi="Arial" w:cs="Arial"/>
          <w:i/>
        </w:rPr>
        <w:t xml:space="preserve"> w zakresie przeciwdzi</w:t>
      </w:r>
      <w:r w:rsidRPr="009138F4">
        <w:rPr>
          <w:rFonts w:ascii="Arial" w:hAnsi="Arial" w:cs="Arial"/>
          <w:i/>
        </w:rPr>
        <w:t>a</w:t>
      </w:r>
      <w:r w:rsidRPr="009138F4">
        <w:rPr>
          <w:rFonts w:ascii="Arial" w:hAnsi="Arial" w:cs="Arial"/>
          <w:i/>
        </w:rPr>
        <w:t>łania wspieraniu agresji na Ukrainę oraz służących ochronie bezpieczeństwa narodowego (</w:t>
      </w:r>
      <w:proofErr w:type="spellStart"/>
      <w:r w:rsidR="00EA2AEC">
        <w:rPr>
          <w:rFonts w:ascii="Arial" w:hAnsi="Arial" w:cs="Arial"/>
          <w:i/>
        </w:rPr>
        <w:t>t.j</w:t>
      </w:r>
      <w:proofErr w:type="spellEnd"/>
      <w:r w:rsidR="00EA2AEC">
        <w:rPr>
          <w:rFonts w:ascii="Arial" w:hAnsi="Arial" w:cs="Arial"/>
          <w:i/>
        </w:rPr>
        <w:t>. Dz. U. z 2024</w:t>
      </w:r>
      <w:r w:rsidRPr="009138F4">
        <w:rPr>
          <w:rFonts w:ascii="Arial" w:hAnsi="Arial" w:cs="Arial"/>
          <w:i/>
        </w:rPr>
        <w:t xml:space="preserve">r. poz. </w:t>
      </w:r>
      <w:r w:rsidR="00EA2AEC">
        <w:rPr>
          <w:rFonts w:ascii="Arial" w:hAnsi="Arial" w:cs="Arial"/>
          <w:i/>
        </w:rPr>
        <w:t>507</w:t>
      </w:r>
      <w:r w:rsidRPr="009138F4">
        <w:rPr>
          <w:rFonts w:ascii="Arial" w:hAnsi="Arial" w:cs="Arial"/>
          <w:i/>
        </w:rPr>
        <w:t>) został przywołany w par. 5 ust. 1.2. SWZ</w:t>
      </w:r>
    </w:p>
    <w:p w:rsidR="00286538" w:rsidRPr="00D57827" w:rsidRDefault="00286538" w:rsidP="00286538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Default="00286538" w:rsidP="00286538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ED777A" w:rsidRDefault="00ED777A" w:rsidP="00286538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ED777A" w:rsidRDefault="00ED777A" w:rsidP="00286538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ED777A" w:rsidRPr="00D57827" w:rsidRDefault="00ED777A" w:rsidP="00286538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D57827" w:rsidRDefault="00286538" w:rsidP="00286538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  <w:r w:rsidRPr="00D57827">
        <w:rPr>
          <w:rFonts w:ascii="Arial" w:hAnsi="Arial" w:cs="Arial"/>
        </w:rPr>
        <w:br w:type="page"/>
      </w:r>
    </w:p>
    <w:p w:rsidR="00286538" w:rsidRPr="00D57827" w:rsidRDefault="00286538" w:rsidP="002865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2</w:t>
      </w:r>
      <w:r w:rsidRPr="00D57827">
        <w:rPr>
          <w:rFonts w:ascii="Arial" w:hAnsi="Arial" w:cs="Arial"/>
          <w:b/>
          <w:i/>
          <w:iCs/>
          <w:sz w:val="18"/>
          <w:szCs w:val="18"/>
        </w:rPr>
        <w:t>b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Wykonawcy dotyczące warunków udziału w postępowaniu </w:t>
      </w: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</w:rPr>
      </w:pP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Wykonawcy: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</w:p>
    <w:p w:rsidR="00286538" w:rsidRPr="00D57827" w:rsidRDefault="00286538" w:rsidP="00286538">
      <w:pPr>
        <w:widowControl/>
        <w:numPr>
          <w:ilvl w:val="1"/>
          <w:numId w:val="7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D57827">
        <w:rPr>
          <w:rFonts w:ascii="Arial" w:hAnsi="Arial" w:cs="Arial"/>
          <w:sz w:val="22"/>
          <w:szCs w:val="22"/>
        </w:rPr>
        <w:t>spełnia warunki udziału w post</w:t>
      </w:r>
      <w:r w:rsidRPr="00D57827">
        <w:rPr>
          <w:rFonts w:ascii="Arial" w:hAnsi="Arial" w:cs="Arial"/>
          <w:sz w:val="22"/>
          <w:szCs w:val="22"/>
        </w:rPr>
        <w:t>ę</w:t>
      </w:r>
      <w:r w:rsidRPr="00D57827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286538" w:rsidRPr="00D57827" w:rsidRDefault="00286538" w:rsidP="00286538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</w:t>
      </w:r>
      <w:r w:rsidRPr="00D57827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D57827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D57827">
        <w:rPr>
          <w:rFonts w:ascii="Arial" w:hAnsi="Arial" w:cs="Arial"/>
          <w:sz w:val="22"/>
          <w:szCs w:val="22"/>
        </w:rPr>
        <w:t>ych</w:t>
      </w:r>
      <w:proofErr w:type="spellEnd"/>
      <w:r w:rsidRPr="00D57827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286538" w:rsidRPr="00D57827" w:rsidRDefault="00286538" w:rsidP="00286538">
      <w:pPr>
        <w:widowControl/>
        <w:spacing w:line="360" w:lineRule="auto"/>
        <w:rPr>
          <w:rFonts w:ascii="Arial" w:hAnsi="Arial" w:cs="Arial"/>
        </w:rPr>
      </w:pPr>
      <w:r w:rsidRPr="00D57827">
        <w:rPr>
          <w:rFonts w:ascii="Arial" w:hAnsi="Arial" w:cs="Arial"/>
        </w:rPr>
        <w:br w:type="page"/>
      </w:r>
    </w:p>
    <w:p w:rsidR="00286538" w:rsidRPr="00D57827" w:rsidRDefault="00286538" w:rsidP="002865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3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286538" w:rsidRPr="00D57827" w:rsidRDefault="00286538" w:rsidP="00286538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podmiotu udostępniającego zasoby </w:t>
      </w: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57827">
        <w:rPr>
          <w:rFonts w:ascii="Arial" w:hAnsi="Arial" w:cs="Arial"/>
          <w:i/>
          <w:sz w:val="23"/>
          <w:szCs w:val="23"/>
        </w:rPr>
        <w:t>(wypełnić w przypadku polegania na zdolnościach podmiotów udostępniających zasoby)</w:t>
      </w:r>
    </w:p>
    <w:p w:rsidR="00286538" w:rsidRPr="00D57827" w:rsidRDefault="00286538" w:rsidP="00286538">
      <w:pPr>
        <w:spacing w:line="360" w:lineRule="auto"/>
        <w:jc w:val="center"/>
        <w:rPr>
          <w:rFonts w:ascii="Arial" w:hAnsi="Arial" w:cs="Arial"/>
        </w:rPr>
      </w:pPr>
    </w:p>
    <w:p w:rsidR="00286538" w:rsidRPr="00D57827" w:rsidRDefault="00286538" w:rsidP="00286538">
      <w:pPr>
        <w:spacing w:line="360" w:lineRule="auto"/>
        <w:jc w:val="both"/>
        <w:rPr>
          <w:rFonts w:ascii="Arial" w:hAnsi="Arial" w:cs="Arial"/>
          <w:b/>
        </w:rPr>
      </w:pP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A55784">
        <w:rPr>
          <w:rFonts w:ascii="Arial" w:hAnsi="Arial" w:cs="Arial"/>
          <w:i/>
          <w:sz w:val="22"/>
          <w:szCs w:val="22"/>
        </w:rPr>
        <w:t xml:space="preserve"> </w:t>
      </w:r>
      <w:r w:rsidRPr="00A55784">
        <w:rPr>
          <w:rFonts w:ascii="Arial" w:hAnsi="Arial" w:cs="Arial"/>
          <w:sz w:val="22"/>
          <w:szCs w:val="22"/>
        </w:rPr>
        <w:t xml:space="preserve">oświadczam, że nie zachodzą wobec tego podmiotu podstawy wykluczenia z postępowania o udzielenie zamówienia, o których mowa w art. 108 ust. 1 ustawy </w:t>
      </w:r>
      <w:proofErr w:type="spellStart"/>
      <w:r w:rsidRPr="00A55784">
        <w:rPr>
          <w:rFonts w:ascii="Arial" w:hAnsi="Arial" w:cs="Arial"/>
          <w:sz w:val="22"/>
          <w:szCs w:val="22"/>
        </w:rPr>
        <w:t>Pzp</w:t>
      </w:r>
      <w:proofErr w:type="spellEnd"/>
      <w:r w:rsidRPr="00A557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784">
        <w:rPr>
          <w:rFonts w:ascii="Arial" w:hAnsi="Arial" w:cs="Arial"/>
          <w:sz w:val="22"/>
          <w:szCs w:val="22"/>
        </w:rPr>
        <w:t>oraz</w:t>
      </w:r>
      <w:proofErr w:type="spellEnd"/>
      <w:r w:rsidRPr="00A55784">
        <w:rPr>
          <w:rFonts w:ascii="Arial" w:hAnsi="Arial" w:cs="Arial"/>
          <w:sz w:val="22"/>
          <w:szCs w:val="22"/>
        </w:rPr>
        <w:t xml:space="preserve"> w art. 7 ust. 1 Ustawy z dnia 13 kwietnia 2022 r. o szczególnych rozwiązaniach w zakresie przeciwdziałania wspieraniu agresji na Ukrainę oraz służących ochronie bezpieczeństwa narodowego (</w:t>
      </w:r>
      <w:proofErr w:type="spellStart"/>
      <w:r w:rsidR="00EA2AEC">
        <w:rPr>
          <w:rFonts w:ascii="Arial" w:hAnsi="Arial" w:cs="Arial"/>
          <w:sz w:val="22"/>
          <w:szCs w:val="22"/>
        </w:rPr>
        <w:t>t.j</w:t>
      </w:r>
      <w:proofErr w:type="spellEnd"/>
      <w:r w:rsidR="00EA2AEC">
        <w:rPr>
          <w:rFonts w:ascii="Arial" w:hAnsi="Arial" w:cs="Arial"/>
          <w:sz w:val="22"/>
          <w:szCs w:val="22"/>
        </w:rPr>
        <w:t xml:space="preserve">. </w:t>
      </w:r>
      <w:r w:rsidRPr="00A55784">
        <w:rPr>
          <w:rFonts w:ascii="Arial" w:hAnsi="Arial" w:cs="Arial"/>
          <w:sz w:val="22"/>
          <w:szCs w:val="22"/>
        </w:rPr>
        <w:t>Dz. U. z 202</w:t>
      </w:r>
      <w:r w:rsidR="00EA2AEC">
        <w:rPr>
          <w:rFonts w:ascii="Arial" w:hAnsi="Arial" w:cs="Arial"/>
          <w:sz w:val="22"/>
          <w:szCs w:val="22"/>
        </w:rPr>
        <w:t>4</w:t>
      </w:r>
      <w:r w:rsidRPr="00A55784">
        <w:rPr>
          <w:rFonts w:ascii="Arial" w:hAnsi="Arial" w:cs="Arial"/>
          <w:sz w:val="22"/>
          <w:szCs w:val="22"/>
        </w:rPr>
        <w:t xml:space="preserve">r. poz. </w:t>
      </w:r>
      <w:r w:rsidR="00EA2AEC">
        <w:rPr>
          <w:rFonts w:ascii="Arial" w:hAnsi="Arial" w:cs="Arial"/>
          <w:sz w:val="22"/>
          <w:szCs w:val="22"/>
        </w:rPr>
        <w:t>507</w:t>
      </w:r>
      <w:r w:rsidRPr="00A55784">
        <w:rPr>
          <w:rFonts w:ascii="Arial" w:hAnsi="Arial" w:cs="Arial"/>
          <w:sz w:val="22"/>
          <w:szCs w:val="22"/>
        </w:rPr>
        <w:t>)</w:t>
      </w: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6538" w:rsidRPr="00A55784" w:rsidRDefault="00286538" w:rsidP="002865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A55784">
        <w:rPr>
          <w:rFonts w:ascii="Arial" w:hAnsi="Arial" w:cs="Arial"/>
          <w:i/>
          <w:sz w:val="22"/>
          <w:szCs w:val="22"/>
        </w:rPr>
        <w:t>.</w:t>
      </w: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286538" w:rsidRPr="00D57827" w:rsidRDefault="00286538" w:rsidP="0028653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286538" w:rsidRPr="00D57827" w:rsidRDefault="00286538" w:rsidP="0028653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</w:p>
    <w:p w:rsidR="00702DDF" w:rsidRPr="00AF267E" w:rsidRDefault="00702DDF">
      <w:pPr>
        <w:rPr>
          <w:rFonts w:ascii="Arial" w:hAnsi="Arial" w:cs="Arial"/>
        </w:rPr>
      </w:pPr>
    </w:p>
    <w:sectPr w:rsidR="00702DDF" w:rsidRPr="00AF267E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D46AD6"/>
    <w:multiLevelType w:val="hybridMultilevel"/>
    <w:tmpl w:val="E3105EBE"/>
    <w:lvl w:ilvl="0" w:tplc="C83C60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115B37"/>
    <w:multiLevelType w:val="multilevel"/>
    <w:tmpl w:val="C61E290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01A7F03"/>
    <w:multiLevelType w:val="hybridMultilevel"/>
    <w:tmpl w:val="DE84316A"/>
    <w:lvl w:ilvl="0" w:tplc="21844FE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5BAC4794">
      <w:start w:val="1"/>
      <w:numFmt w:val="decimal"/>
      <w:lvlText w:val="%2."/>
      <w:lvlJc w:val="left"/>
      <w:pPr>
        <w:ind w:left="1364" w:hanging="360"/>
      </w:pPr>
    </w:lvl>
    <w:lvl w:ilvl="2" w:tplc="44A283D0">
      <w:start w:val="1"/>
      <w:numFmt w:val="lowerRoman"/>
      <w:lvlText w:val="%3."/>
      <w:lvlJc w:val="right"/>
      <w:pPr>
        <w:ind w:left="2084" w:hanging="180"/>
      </w:pPr>
    </w:lvl>
    <w:lvl w:ilvl="3" w:tplc="4F0A8688">
      <w:start w:val="1"/>
      <w:numFmt w:val="decimal"/>
      <w:lvlText w:val="%4."/>
      <w:lvlJc w:val="left"/>
      <w:pPr>
        <w:ind w:left="2804" w:hanging="360"/>
      </w:pPr>
    </w:lvl>
    <w:lvl w:ilvl="4" w:tplc="98FED7A4">
      <w:start w:val="1"/>
      <w:numFmt w:val="lowerLetter"/>
      <w:lvlText w:val="%5."/>
      <w:lvlJc w:val="left"/>
      <w:pPr>
        <w:ind w:left="3524" w:hanging="360"/>
      </w:pPr>
    </w:lvl>
    <w:lvl w:ilvl="5" w:tplc="3A82F02C">
      <w:start w:val="1"/>
      <w:numFmt w:val="lowerRoman"/>
      <w:lvlText w:val="%6."/>
      <w:lvlJc w:val="right"/>
      <w:pPr>
        <w:ind w:left="4244" w:hanging="180"/>
      </w:pPr>
    </w:lvl>
    <w:lvl w:ilvl="6" w:tplc="50265BEA">
      <w:start w:val="1"/>
      <w:numFmt w:val="decimal"/>
      <w:lvlText w:val="%7."/>
      <w:lvlJc w:val="left"/>
      <w:pPr>
        <w:ind w:left="4964" w:hanging="360"/>
      </w:pPr>
    </w:lvl>
    <w:lvl w:ilvl="7" w:tplc="99DE65DC">
      <w:start w:val="1"/>
      <w:numFmt w:val="lowerLetter"/>
      <w:lvlText w:val="%8."/>
      <w:lvlJc w:val="left"/>
      <w:pPr>
        <w:ind w:left="5684" w:hanging="360"/>
      </w:pPr>
    </w:lvl>
    <w:lvl w:ilvl="8" w:tplc="3E688F00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2A7519"/>
    <w:multiLevelType w:val="hybridMultilevel"/>
    <w:tmpl w:val="7C0A2E28"/>
    <w:lvl w:ilvl="0" w:tplc="A1B410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33DFD"/>
    <w:rsid w:val="000D724C"/>
    <w:rsid w:val="001158B5"/>
    <w:rsid w:val="00203D30"/>
    <w:rsid w:val="00231EE8"/>
    <w:rsid w:val="00286538"/>
    <w:rsid w:val="002B323D"/>
    <w:rsid w:val="00307F53"/>
    <w:rsid w:val="00335F63"/>
    <w:rsid w:val="003D6602"/>
    <w:rsid w:val="004007BE"/>
    <w:rsid w:val="004F0AD4"/>
    <w:rsid w:val="005E72C5"/>
    <w:rsid w:val="0060265A"/>
    <w:rsid w:val="00702DDF"/>
    <w:rsid w:val="0074334F"/>
    <w:rsid w:val="007513F2"/>
    <w:rsid w:val="007B3DFE"/>
    <w:rsid w:val="007C29C1"/>
    <w:rsid w:val="007C7203"/>
    <w:rsid w:val="008300F1"/>
    <w:rsid w:val="008814D2"/>
    <w:rsid w:val="008B5F41"/>
    <w:rsid w:val="008C7424"/>
    <w:rsid w:val="008E1A0B"/>
    <w:rsid w:val="008E72DB"/>
    <w:rsid w:val="009101D7"/>
    <w:rsid w:val="00927B95"/>
    <w:rsid w:val="009F04B1"/>
    <w:rsid w:val="00A619ED"/>
    <w:rsid w:val="00A64DA7"/>
    <w:rsid w:val="00AA4B44"/>
    <w:rsid w:val="00AC680B"/>
    <w:rsid w:val="00AE6C02"/>
    <w:rsid w:val="00AF267E"/>
    <w:rsid w:val="00B8550C"/>
    <w:rsid w:val="00C6235E"/>
    <w:rsid w:val="00CD6DA4"/>
    <w:rsid w:val="00CE48ED"/>
    <w:rsid w:val="00E4798B"/>
    <w:rsid w:val="00EA2AEC"/>
    <w:rsid w:val="00ED777A"/>
    <w:rsid w:val="00F0783E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22"/>
    <w:qFormat/>
    <w:rsid w:val="00AC680B"/>
    <w:rPr>
      <w:b/>
      <w:bCs/>
    </w:rPr>
  </w:style>
  <w:style w:type="table" w:styleId="Tabela-Siatka">
    <w:name w:val="Table Grid"/>
    <w:basedOn w:val="Standardowy"/>
    <w:uiPriority w:val="59"/>
    <w:unhideWhenUsed/>
    <w:rsid w:val="009F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qFormat/>
    <w:rsid w:val="00286538"/>
  </w:style>
  <w:style w:type="paragraph" w:customStyle="1" w:styleId="Default">
    <w:name w:val="Default"/>
    <w:qFormat/>
    <w:rsid w:val="00286538"/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cp:lastPrinted>2021-03-24T08:45:00Z</cp:lastPrinted>
  <dcterms:created xsi:type="dcterms:W3CDTF">2024-09-30T09:18:00Z</dcterms:created>
  <dcterms:modified xsi:type="dcterms:W3CDTF">2024-09-30T09:51:00Z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