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B7892E" w14:textId="31E5E230" w:rsidR="00460605" w:rsidRPr="00F359F0" w:rsidRDefault="004678F0" w:rsidP="00460605">
      <w:pPr>
        <w:spacing w:after="240"/>
        <w:jc w:val="both"/>
        <w:rPr>
          <w:b/>
        </w:rPr>
      </w:pPr>
      <w:r>
        <w:t>1</w:t>
      </w:r>
      <w:r w:rsidR="00460605" w:rsidRPr="002836C0">
        <w:t>.</w:t>
      </w:r>
      <w:r w:rsidR="00460605">
        <w:rPr>
          <w:b/>
        </w:rPr>
        <w:t xml:space="preserve"> </w:t>
      </w:r>
      <w:r w:rsidR="00460605" w:rsidRPr="00D425A1">
        <w:rPr>
          <w:bCs/>
        </w:rPr>
        <w:t xml:space="preserve">Przedmiot zamówienia </w:t>
      </w:r>
      <w:r w:rsidR="00460605" w:rsidRPr="00460605">
        <w:rPr>
          <w:bCs/>
        </w:rPr>
        <w:t>obejmuje modernizację sieci oświetlenia drogowego</w:t>
      </w:r>
      <w:r w:rsidR="00AB0CBE">
        <w:rPr>
          <w:bCs/>
        </w:rPr>
        <w:t xml:space="preserve"> na terenie gminy </w:t>
      </w:r>
      <w:r w:rsidR="00DC567F">
        <w:rPr>
          <w:bCs/>
        </w:rPr>
        <w:t>Ryglice</w:t>
      </w:r>
      <w:r w:rsidR="00AB0CBE">
        <w:rPr>
          <w:bCs/>
        </w:rPr>
        <w:t>.</w:t>
      </w:r>
    </w:p>
    <w:p w14:paraId="3716875F" w14:textId="6F065EB4" w:rsidR="00460605" w:rsidRPr="00764F65" w:rsidRDefault="004678F0" w:rsidP="00460605">
      <w:pPr>
        <w:spacing w:after="120"/>
        <w:jc w:val="both"/>
        <w:rPr>
          <w:b/>
        </w:rPr>
      </w:pPr>
      <w:r>
        <w:rPr>
          <w:b/>
        </w:rPr>
        <w:t>1</w:t>
      </w:r>
      <w:r w:rsidR="00460605" w:rsidRPr="00764F65">
        <w:rPr>
          <w:b/>
        </w:rPr>
        <w:t xml:space="preserve">.1. Przedmiot </w:t>
      </w:r>
      <w:r w:rsidR="00460605" w:rsidRPr="00764F65">
        <w:rPr>
          <w:b/>
          <w:noProof/>
        </w:rPr>
        <w:t xml:space="preserve">zamówienia </w:t>
      </w:r>
      <w:r w:rsidR="00460605" w:rsidRPr="00764F65">
        <w:rPr>
          <w:b/>
        </w:rPr>
        <w:t>obejmuje:</w:t>
      </w:r>
    </w:p>
    <w:p w14:paraId="6DE726E5" w14:textId="24D08B33" w:rsidR="00AB0CBE" w:rsidRDefault="00AB0CBE" w:rsidP="00AB0CBE">
      <w:pPr>
        <w:pStyle w:val="Akapitzlist"/>
        <w:numPr>
          <w:ilvl w:val="0"/>
          <w:numId w:val="3"/>
        </w:numPr>
        <w:spacing w:after="240" w:line="276" w:lineRule="auto"/>
        <w:jc w:val="both"/>
        <w:rPr>
          <w:bCs/>
        </w:rPr>
      </w:pPr>
      <w:r w:rsidRPr="00AB0CBE">
        <w:rPr>
          <w:bCs/>
        </w:rPr>
        <w:t>Demontaż opraw oświetleniowych i montaż w ich miejsce nowych opraw energooszczędnych LED w</w:t>
      </w:r>
      <w:r>
        <w:rPr>
          <w:bCs/>
        </w:rPr>
        <w:t xml:space="preserve"> </w:t>
      </w:r>
      <w:r w:rsidRPr="00AB0CBE">
        <w:rPr>
          <w:bCs/>
        </w:rPr>
        <w:t>komplecie z nowymi przewodami zasilającymi, nowymi zabezpieczeniami i nowymi urządzeniami automatyki sterującej oświetleniem</w:t>
      </w:r>
      <w:r w:rsidR="007455FE" w:rsidRPr="007455FE">
        <w:t xml:space="preserve"> </w:t>
      </w:r>
      <w:r w:rsidR="007455FE" w:rsidRPr="007455FE">
        <w:rPr>
          <w:bCs/>
        </w:rPr>
        <w:t xml:space="preserve">o roku produkcji nie starszym niż 2023,  </w:t>
      </w:r>
    </w:p>
    <w:p w14:paraId="489328D7" w14:textId="4910C403" w:rsidR="00AB0CBE" w:rsidRPr="00AB0CBE" w:rsidRDefault="00AB0CBE" w:rsidP="00AB0CBE">
      <w:pPr>
        <w:pStyle w:val="Akapitzlist"/>
        <w:numPr>
          <w:ilvl w:val="0"/>
          <w:numId w:val="3"/>
        </w:numPr>
        <w:spacing w:after="240" w:line="276" w:lineRule="auto"/>
        <w:jc w:val="both"/>
        <w:rPr>
          <w:bCs/>
        </w:rPr>
      </w:pPr>
      <w:r w:rsidRPr="00AB0CBE">
        <w:rPr>
          <w:bCs/>
        </w:rPr>
        <w:t>Przeprowadzenie badań, prób i pomiarów</w:t>
      </w:r>
    </w:p>
    <w:p w14:paraId="09049EC6" w14:textId="2890AB22" w:rsidR="00460605" w:rsidRDefault="00AB0CBE" w:rsidP="00AB0CBE">
      <w:pPr>
        <w:pStyle w:val="Akapitzlist"/>
        <w:numPr>
          <w:ilvl w:val="0"/>
          <w:numId w:val="3"/>
        </w:numPr>
        <w:spacing w:after="240" w:line="276" w:lineRule="auto"/>
        <w:jc w:val="both"/>
        <w:rPr>
          <w:bCs/>
        </w:rPr>
      </w:pPr>
      <w:r w:rsidRPr="00AB0CBE">
        <w:rPr>
          <w:bCs/>
        </w:rPr>
        <w:t>Wykonanie dokumentacji powykonawczej</w:t>
      </w:r>
    </w:p>
    <w:p w14:paraId="53DF3E90" w14:textId="3C92061F" w:rsidR="00AB0CBE" w:rsidRPr="0038723A" w:rsidRDefault="00AB0CBE" w:rsidP="00AB0CBE">
      <w:pPr>
        <w:pStyle w:val="Akapitzlist"/>
        <w:numPr>
          <w:ilvl w:val="0"/>
          <w:numId w:val="3"/>
        </w:numPr>
        <w:spacing w:after="240" w:line="276" w:lineRule="auto"/>
        <w:jc w:val="both"/>
        <w:rPr>
          <w:bCs/>
        </w:rPr>
      </w:pPr>
      <w:r>
        <w:rPr>
          <w:bCs/>
        </w:rPr>
        <w:t>Pozostałe prace określone w dokumentacji projektowej załączonej do SWZ</w:t>
      </w:r>
    </w:p>
    <w:p w14:paraId="4C78F99A" w14:textId="66643A3A" w:rsidR="00460605" w:rsidRDefault="004678F0" w:rsidP="00460605">
      <w:pPr>
        <w:spacing w:after="120"/>
        <w:jc w:val="both"/>
        <w:rPr>
          <w:b/>
        </w:rPr>
      </w:pPr>
      <w:r>
        <w:rPr>
          <w:b/>
        </w:rPr>
        <w:t>1</w:t>
      </w:r>
      <w:r w:rsidR="00460605" w:rsidRPr="00D255CE">
        <w:rPr>
          <w:b/>
        </w:rPr>
        <w:t>.</w:t>
      </w:r>
      <w:r w:rsidR="00764F65">
        <w:rPr>
          <w:b/>
        </w:rPr>
        <w:t>2</w:t>
      </w:r>
      <w:r w:rsidR="00460605" w:rsidRPr="00D255CE">
        <w:rPr>
          <w:b/>
        </w:rPr>
        <w:t>. Zamówienie będzie realizowane</w:t>
      </w:r>
      <w:r w:rsidR="00AB0CBE">
        <w:rPr>
          <w:b/>
        </w:rPr>
        <w:t xml:space="preserve"> </w:t>
      </w:r>
      <w:r w:rsidR="00460605" w:rsidRPr="00D255CE">
        <w:rPr>
          <w:b/>
        </w:rPr>
        <w:t>z</w:t>
      </w:r>
      <w:r w:rsidR="00460605" w:rsidRPr="00D255CE">
        <w:t xml:space="preserve"> </w:t>
      </w:r>
      <w:r w:rsidR="00460605" w:rsidRPr="00D255CE">
        <w:rPr>
          <w:b/>
        </w:rPr>
        <w:t xml:space="preserve">udziałem środków zewnętrznych w ramach </w:t>
      </w:r>
      <w:r w:rsidR="00460605" w:rsidRPr="00243A44">
        <w:rPr>
          <w:b/>
        </w:rPr>
        <w:t>„Programu Rządowego Polski Ład: Program Inwestycji Strategicznych”.</w:t>
      </w:r>
    </w:p>
    <w:p w14:paraId="63F80E46" w14:textId="4D2083FC" w:rsidR="00E014D2" w:rsidRPr="007D0BA6" w:rsidRDefault="004678F0" w:rsidP="00E014D2">
      <w:pPr>
        <w:spacing w:before="100" w:beforeAutospacing="1"/>
        <w:jc w:val="both"/>
        <w:rPr>
          <w:u w:val="single"/>
        </w:rPr>
      </w:pPr>
      <w:r>
        <w:t>1</w:t>
      </w:r>
      <w:r w:rsidR="00E014D2" w:rsidRPr="007D0BA6">
        <w:t>.</w:t>
      </w:r>
      <w:r>
        <w:t>3</w:t>
      </w:r>
      <w:r w:rsidR="00E014D2" w:rsidRPr="007D0BA6">
        <w:t xml:space="preserve">. Wykonawca zrealizuje dobór i obliczenia opraw bez zastosowania redukcji mocy, zgodnie z PN-EN13201:2016, przy zastosowaniu współczynnika utrzymania wartości 0,80. Sprawdzenie spełnienia wymagań będzie odbywało się na podstawie złożonych przez Wykonawcę dokumentów w postaci kart katalogowych, certyfikatów i deklaracji, </w:t>
      </w:r>
      <w:r w:rsidR="00E014D2" w:rsidRPr="007D0BA6">
        <w:rPr>
          <w:u w:val="single"/>
        </w:rPr>
        <w:t>składanych wraz z ofertą:</w:t>
      </w:r>
    </w:p>
    <w:p w14:paraId="3E488C84" w14:textId="77777777" w:rsidR="00E014D2" w:rsidRPr="007D0BA6" w:rsidRDefault="00E014D2" w:rsidP="00E014D2">
      <w:pPr>
        <w:jc w:val="both"/>
      </w:pPr>
      <w:r w:rsidRPr="007D0BA6">
        <w:t>• karty katalogowe oferowanych opraw energooszczędnych LED</w:t>
      </w:r>
    </w:p>
    <w:p w14:paraId="00436BD0" w14:textId="4C38B33C" w:rsidR="00E014D2" w:rsidRPr="007D0BA6" w:rsidRDefault="00E014D2" w:rsidP="00E014D2">
      <w:pPr>
        <w:jc w:val="both"/>
      </w:pPr>
      <w:r w:rsidRPr="007D0BA6">
        <w:t>• certyfikaty ENEC, ENEC+ wraz z załącznikami oraz wskazaniem adres zakładu produkcyjnego, w którym produkowana jest certyfikowana oprawa</w:t>
      </w:r>
      <w:r w:rsidR="00B86995">
        <w:t xml:space="preserve"> lub równoważy</w:t>
      </w:r>
    </w:p>
    <w:p w14:paraId="358BC575" w14:textId="538816F6" w:rsidR="00E014D2" w:rsidRPr="007D0BA6" w:rsidRDefault="00E014D2" w:rsidP="00E014D2">
      <w:pPr>
        <w:jc w:val="both"/>
      </w:pPr>
      <w:r w:rsidRPr="007D0BA6">
        <w:t>• certyfikaty Zhaga-D4i</w:t>
      </w:r>
      <w:r w:rsidR="00B86995">
        <w:t xml:space="preserve"> oferowanych opraw lub równoważy</w:t>
      </w:r>
    </w:p>
    <w:p w14:paraId="4E22EA81" w14:textId="26E5AACB" w:rsidR="00E014D2" w:rsidRPr="007D0BA6" w:rsidRDefault="00E014D2" w:rsidP="00E014D2">
      <w:pPr>
        <w:jc w:val="both"/>
      </w:pPr>
      <w:r w:rsidRPr="007D0BA6">
        <w:t>• deklaracje zgodności</w:t>
      </w:r>
      <w:r w:rsidR="00B86995">
        <w:t xml:space="preserve"> oferowanych opraw </w:t>
      </w:r>
    </w:p>
    <w:p w14:paraId="2C8B264A" w14:textId="75F9AD1C" w:rsidR="00E014D2" w:rsidRDefault="00E014D2" w:rsidP="00E014D2">
      <w:pPr>
        <w:jc w:val="both"/>
      </w:pPr>
      <w:r w:rsidRPr="007D0BA6">
        <w:t>• obliczenia fotometryczne</w:t>
      </w:r>
      <w:r>
        <w:t xml:space="preserve"> </w:t>
      </w:r>
      <w:r w:rsidR="004D7535">
        <w:t xml:space="preserve">wraz z wypełnioną tabelą </w:t>
      </w:r>
      <w:r w:rsidR="004D7535" w:rsidRPr="004D7535">
        <w:t>Załącznik do oferty – Tabela do obliczeń fotometrycznych</w:t>
      </w:r>
    </w:p>
    <w:p w14:paraId="0C232F67" w14:textId="1466B7C6" w:rsidR="00E014D2" w:rsidRPr="007D0BA6" w:rsidRDefault="00E014D2" w:rsidP="00E014D2">
      <w:pPr>
        <w:jc w:val="both"/>
      </w:pPr>
      <w:r w:rsidRPr="007D0BA6">
        <w:t>• raporty z badań dla szczelności oraz odporności na uderzenia</w:t>
      </w:r>
      <w:r w:rsidR="00B86995">
        <w:t xml:space="preserve"> oferowanych opraw</w:t>
      </w:r>
    </w:p>
    <w:p w14:paraId="3CDE4315" w14:textId="26E8731E" w:rsidR="00E014D2" w:rsidRPr="007D0BA6" w:rsidRDefault="00E014D2" w:rsidP="00E014D2">
      <w:pPr>
        <w:jc w:val="both"/>
      </w:pPr>
      <w:r w:rsidRPr="007D0BA6">
        <w:t>• raport z badań dla wibracji</w:t>
      </w:r>
      <w:r w:rsidR="00B86995">
        <w:t xml:space="preserve"> oferowanych opraw</w:t>
      </w:r>
    </w:p>
    <w:p w14:paraId="35C04D1A" w14:textId="785A1990" w:rsidR="00E014D2" w:rsidRPr="007D0BA6" w:rsidRDefault="00E014D2" w:rsidP="00E014D2">
      <w:pPr>
        <w:jc w:val="both"/>
      </w:pPr>
      <w:r w:rsidRPr="007D0BA6">
        <w:t>• raport z badań dla trwałości źródeł LED</w:t>
      </w:r>
      <w:r w:rsidR="00B86995">
        <w:t xml:space="preserve"> oferowanych opraw</w:t>
      </w:r>
    </w:p>
    <w:p w14:paraId="2D5ABB6F" w14:textId="77777777" w:rsidR="00E014D2" w:rsidRPr="007D0BA6" w:rsidRDefault="00E014D2" w:rsidP="00E014D2">
      <w:pPr>
        <w:jc w:val="both"/>
      </w:pPr>
      <w:r w:rsidRPr="007D0BA6">
        <w:t xml:space="preserve">• deklaracje środowiskowe dla oferowanych wersji </w:t>
      </w:r>
    </w:p>
    <w:p w14:paraId="0CD554C3" w14:textId="77777777" w:rsidR="00E014D2" w:rsidRPr="007D0BA6" w:rsidRDefault="00E014D2" w:rsidP="00E014D2">
      <w:pPr>
        <w:spacing w:before="100" w:beforeAutospacing="1" w:after="100" w:afterAutospacing="1"/>
        <w:jc w:val="both"/>
      </w:pPr>
      <w:r w:rsidRPr="007D0BA6">
        <w:t>W przypadku niezłożenia przedmiotowych środków dowodowych wraz z ofertą lub złożenia dokumentów niezgodnych z wymaganiami SWZ, oferta nie podlega uzupełnieniu w trybie art. 128 ust. 1 ustawy Pzp i zostanie odrzucona.</w:t>
      </w:r>
    </w:p>
    <w:p w14:paraId="6F218298" w14:textId="77777777" w:rsidR="00E014D2" w:rsidRPr="007D0BA6" w:rsidRDefault="00E014D2" w:rsidP="00E014D2">
      <w:pPr>
        <w:spacing w:before="100" w:beforeAutospacing="1" w:after="100" w:afterAutospacing="1"/>
        <w:jc w:val="both"/>
      </w:pPr>
      <w:r w:rsidRPr="007D0BA6">
        <w:t xml:space="preserve">Dla potwierdzenia osiągnięcia spodziewanych poziomów parametrów dla zaproponowanych </w:t>
      </w:r>
      <w:r w:rsidRPr="007D0BA6">
        <w:br/>
        <w:t xml:space="preserve">w ofercie opraw, Wykonawca przekaże obliczenia parametrów oświetleniowych dla przewidzianej geometrii montażu opraw na odcinkach ulic i dróg. Obliczenia muszą zawierać siatkę zgodną z danymi z pliku „Referencyjne obliczenia fotometryczne" wraz z wartościami luminancji i muszą być wykonane w bezpłatnym ogólnodostępnym oprogramowaniu.  </w:t>
      </w:r>
    </w:p>
    <w:p w14:paraId="739C058A" w14:textId="77777777" w:rsidR="00E014D2" w:rsidRPr="007D0BA6" w:rsidRDefault="00E014D2" w:rsidP="00E014D2">
      <w:pPr>
        <w:spacing w:before="100" w:beforeAutospacing="1" w:after="100" w:afterAutospacing="1"/>
        <w:jc w:val="both"/>
      </w:pPr>
      <w:r w:rsidRPr="007D0BA6">
        <w:t xml:space="preserve">Celem przedstawienia obliczeń jest udokumentowanie, że proponowane przez Wykonawcę oprawy oświetleniowe LED, spełniają wymagania techniczno-użytkowe Zamawiającego. Na Wykonawcy ciąży obowiązek udokumentowania, spełnienia wymagań, poprzez wykonanie </w:t>
      </w:r>
      <w:r w:rsidRPr="007D0BA6">
        <w:br/>
        <w:t xml:space="preserve">i złożenie obliczeń fotometrycznych oświetlenia dróg i ulic, wykonanych w ogólnodostępnym programie komputerowym do wspomagania obliczeń i zawierających wszystkie elementy zawarte w obliczeniach, stanowiących załącznik do Dokumentacji Projektowej – „Referencyjne obliczenia fotometryczne". </w:t>
      </w:r>
    </w:p>
    <w:p w14:paraId="438D76F1" w14:textId="50274DE9" w:rsidR="00E014D2" w:rsidRPr="008D1B15" w:rsidRDefault="00E014D2" w:rsidP="00E014D2">
      <w:pPr>
        <w:spacing w:before="100" w:beforeAutospacing="1" w:after="100" w:afterAutospacing="1"/>
        <w:jc w:val="both"/>
      </w:pPr>
      <w:bookmarkStart w:id="0" w:name="_Hlk175816943"/>
      <w:r w:rsidRPr="007D0BA6">
        <w:lastRenderedPageBreak/>
        <w:t xml:space="preserve">Obliczenia oraz prezentacja wyników obliczeń musi być w pełni zgodna z przyjętymi założeniami Zamawiającego, tj. identyczna geometria dróg i usytuowania słupów, identyczny poziom współczynnika zapasu (ew. odwrotności - wskaźnika utrzymania), parametrów rodzaju nawierzchni, parametrów – położenia obserwatorów, oraz wydruki muszą zawierać wszystkie wyliczone parametry jak w załączniku do Dokumentacji Projektowej – </w:t>
      </w:r>
      <w:r w:rsidRPr="008D1B15">
        <w:t xml:space="preserve">„Referencyjne obliczenia fotometryczne", a ich wartości muszą potwierdzać spełnienie wymagań normy PN-EN13201 dla przyjętych klas oświetleniowych. </w:t>
      </w:r>
      <w:r w:rsidR="002F5611" w:rsidRPr="008D1B15">
        <w:t>Różnica efektu oświetleniowego proponowanych opraw równoważnych musi być zgodna ze wskazanymi klasami oświetleniowymi i musi spełniać normę oświetleniową PN-EN 13201:2016 na podstawie które</w:t>
      </w:r>
      <w:r w:rsidR="002124A0" w:rsidRPr="008D1B15">
        <w:t>j</w:t>
      </w:r>
      <w:r w:rsidR="002F5611" w:rsidRPr="008D1B15">
        <w:t xml:space="preserve"> wykonano obliczenia fotometryczne jak również nie może mieć niższej luminancji aniżeli w obliczeniach referencyjnych. </w:t>
      </w:r>
      <w:r w:rsidRPr="008D1B15">
        <w:t xml:space="preserve"> </w:t>
      </w:r>
    </w:p>
    <w:p w14:paraId="2518E67A" w14:textId="29D19D72" w:rsidR="00E014D2" w:rsidRPr="007D0BA6" w:rsidRDefault="00E014D2" w:rsidP="00E014D2">
      <w:pPr>
        <w:spacing w:before="100" w:beforeAutospacing="1" w:after="100" w:afterAutospacing="1"/>
        <w:jc w:val="both"/>
      </w:pPr>
      <w:r w:rsidRPr="008D1B15">
        <w:t xml:space="preserve">Obliczenia fotometryczne Wykonawca składa </w:t>
      </w:r>
      <w:r w:rsidR="00B13F19" w:rsidRPr="008D1B15">
        <w:t xml:space="preserve">wraz z ofertą </w:t>
      </w:r>
      <w:r w:rsidRPr="008D1B15">
        <w:t xml:space="preserve">zapisane w formacie pdf </w:t>
      </w:r>
      <w:r w:rsidR="00B86995" w:rsidRPr="008D1B15">
        <w:t xml:space="preserve">oraz po podpisaniu umowy </w:t>
      </w:r>
      <w:r w:rsidRPr="008D1B15">
        <w:t>w plikach programu ogólnodostępnego jaki posłużył do obliczeń (edytowalne pliki obliczeniowe) oraz dane rozsyłu opraw zapisane w formie bazy danych umożliwiających na ich podstawie dokonanie wyliczeń parametrów oświetleniowych - pliki w formacie eulumdat (Ldt).</w:t>
      </w:r>
    </w:p>
    <w:p w14:paraId="474E9183" w14:textId="77777777" w:rsidR="00E014D2" w:rsidRDefault="00E014D2" w:rsidP="00E014D2">
      <w:pPr>
        <w:spacing w:before="100" w:beforeAutospacing="1" w:after="100" w:afterAutospacing="1"/>
        <w:jc w:val="both"/>
      </w:pPr>
      <w:r w:rsidRPr="007D0BA6">
        <w:t xml:space="preserve">Na podstawie obliczeń i wyznaczonych mocy opraw, należy wypełnić i załączyć </w:t>
      </w:r>
      <w:r w:rsidRPr="00243A44">
        <w:t xml:space="preserve">Załącznik </w:t>
      </w:r>
      <w:r w:rsidRPr="00243A44">
        <w:br/>
        <w:t xml:space="preserve">– Tabela do obliczeń fotometrycznych </w:t>
      </w:r>
      <w:r w:rsidRPr="007D0BA6">
        <w:t>wskazując</w:t>
      </w:r>
      <w:r>
        <w:t>ą</w:t>
      </w:r>
      <w:r w:rsidRPr="007D0BA6">
        <w:t xml:space="preserve"> nieprzekroczenie limitu mocy zainstalowanych opraw w systemie.</w:t>
      </w:r>
    </w:p>
    <w:bookmarkEnd w:id="0"/>
    <w:p w14:paraId="01F8DF6C" w14:textId="7B12EB90" w:rsidR="00193EED" w:rsidRDefault="00193EED" w:rsidP="00460605">
      <w:pPr>
        <w:spacing w:before="100" w:beforeAutospacing="1" w:after="100" w:afterAutospacing="1"/>
        <w:jc w:val="both"/>
      </w:pPr>
      <w:r>
        <w:t>Wymagania ogólne:</w:t>
      </w:r>
    </w:p>
    <w:p w14:paraId="4851CE53" w14:textId="749CEE8F" w:rsidR="00460605" w:rsidRDefault="00460605" w:rsidP="00460605">
      <w:pPr>
        <w:spacing w:after="120"/>
        <w:jc w:val="both"/>
        <w:rPr>
          <w:bCs/>
        </w:rPr>
      </w:pPr>
      <w:r w:rsidRPr="00385FD3">
        <w:rPr>
          <w:bCs/>
        </w:rPr>
        <w:t>Wykonawca ma obowiązek prowadzeni</w:t>
      </w:r>
      <w:r>
        <w:rPr>
          <w:bCs/>
        </w:rPr>
        <w:t>a</w:t>
      </w:r>
      <w:r w:rsidRPr="00385FD3">
        <w:rPr>
          <w:bCs/>
        </w:rPr>
        <w:t xml:space="preserve"> </w:t>
      </w:r>
      <w:r w:rsidR="004D7535">
        <w:rPr>
          <w:bCs/>
        </w:rPr>
        <w:t>rejestru inwestycji</w:t>
      </w:r>
      <w:r w:rsidRPr="00385FD3">
        <w:rPr>
          <w:bCs/>
        </w:rPr>
        <w:t xml:space="preserve">. Każdy wpis w </w:t>
      </w:r>
      <w:r w:rsidR="004D7535" w:rsidRPr="004D7535">
        <w:rPr>
          <w:bCs/>
        </w:rPr>
        <w:t>rejestr</w:t>
      </w:r>
      <w:r w:rsidR="004D7535">
        <w:rPr>
          <w:bCs/>
        </w:rPr>
        <w:t>ze</w:t>
      </w:r>
      <w:r w:rsidR="004D7535" w:rsidRPr="004D7535">
        <w:rPr>
          <w:bCs/>
        </w:rPr>
        <w:t xml:space="preserve"> inwestycji </w:t>
      </w:r>
      <w:r w:rsidRPr="00385FD3">
        <w:rPr>
          <w:bCs/>
        </w:rPr>
        <w:t>musi być realizowany na bieżąco i posiadać datę, opis zdarzenia, podpis osoby dokonującej wpis wraz z jego pieczątką imienną i potwierdzeniem przez przedstawiciela Zamawiającego.</w:t>
      </w:r>
    </w:p>
    <w:p w14:paraId="05650EE9" w14:textId="77777777" w:rsidR="00460605" w:rsidRDefault="00460605" w:rsidP="00460605">
      <w:pPr>
        <w:spacing w:after="120"/>
        <w:jc w:val="both"/>
        <w:rPr>
          <w:bCs/>
        </w:rPr>
      </w:pPr>
      <w:r w:rsidRPr="00385FD3">
        <w:rPr>
          <w:bCs/>
        </w:rPr>
        <w:t xml:space="preserve">Wykonawca jest zobowiązany do utrzymania ruchu publicznego na terenie instalacji </w:t>
      </w:r>
      <w:r>
        <w:rPr>
          <w:bCs/>
        </w:rPr>
        <w:br/>
      </w:r>
      <w:r w:rsidRPr="00385FD3">
        <w:rPr>
          <w:bCs/>
        </w:rPr>
        <w:t xml:space="preserve">w okresie trwania realizacji kontraktu, aż do zakończenia i odbioru ostatecznego dostawy </w:t>
      </w:r>
      <w:r>
        <w:rPr>
          <w:bCs/>
        </w:rPr>
        <w:br/>
      </w:r>
      <w:r w:rsidRPr="00385FD3">
        <w:rPr>
          <w:bCs/>
        </w:rPr>
        <w:t>i instalacji.</w:t>
      </w:r>
      <w:r>
        <w:rPr>
          <w:bCs/>
        </w:rPr>
        <w:t xml:space="preserve"> </w:t>
      </w:r>
    </w:p>
    <w:p w14:paraId="10F9C26F" w14:textId="77777777" w:rsidR="00460605" w:rsidRDefault="00460605" w:rsidP="00460605">
      <w:pPr>
        <w:spacing w:after="120"/>
        <w:jc w:val="both"/>
        <w:rPr>
          <w:bCs/>
        </w:rPr>
      </w:pPr>
      <w:r w:rsidRPr="00385FD3">
        <w:rPr>
          <w:bCs/>
        </w:rPr>
        <w:t>Przed przystąpieniem do dostawy i instalacji Wykonawca przedstawi Zamawiającemu do zatwierdzenia uzgodniony z odpowiednim zarządem drogi i organem zarządzającym ruchem projekt organizacji ruchu i zabezpieczenia dostawy i instalacji w okresie realizacji zadania.</w:t>
      </w:r>
      <w:r>
        <w:rPr>
          <w:bCs/>
        </w:rPr>
        <w:t xml:space="preserve"> </w:t>
      </w:r>
    </w:p>
    <w:p w14:paraId="58A4E23B" w14:textId="77777777" w:rsidR="00460605" w:rsidRDefault="00460605" w:rsidP="00460605">
      <w:pPr>
        <w:spacing w:after="120"/>
        <w:jc w:val="both"/>
        <w:rPr>
          <w:bCs/>
        </w:rPr>
      </w:pPr>
      <w:r w:rsidRPr="00385FD3">
        <w:rPr>
          <w:bCs/>
        </w:rPr>
        <w:t>W czasie wykonywania zadania Wykonawca dostarczy, zainstaluje i będzie obsługiwał wszystkie tymczasowe urządzenia zabezpieczające takie jak: zapory, znaki drogowe itp., zapewniając w ten sposób bezpieczeństwo pojazdów i pieszych.</w:t>
      </w:r>
    </w:p>
    <w:p w14:paraId="4887DD55" w14:textId="35EC051B" w:rsidR="00460605" w:rsidRPr="001C2AC5" w:rsidRDefault="00460605" w:rsidP="00460605">
      <w:pPr>
        <w:spacing w:after="120"/>
        <w:jc w:val="both"/>
        <w:rPr>
          <w:bCs/>
        </w:rPr>
      </w:pPr>
      <w:r w:rsidRPr="001C2AC5">
        <w:rPr>
          <w:bCs/>
        </w:rPr>
        <w:t>Wykonawca ma obowiązek znać i stosować w czasie prowadzenia dostawy i instalacji wszelkie przepisy dotyczące ochrony środowiska naturalnego.</w:t>
      </w:r>
      <w:r>
        <w:rPr>
          <w:bCs/>
        </w:rPr>
        <w:t xml:space="preserve"> </w:t>
      </w:r>
      <w:r w:rsidRPr="001C2AC5">
        <w:rPr>
          <w:bCs/>
        </w:rPr>
        <w:t xml:space="preserve">W okresie trwania dostawy </w:t>
      </w:r>
      <w:r>
        <w:rPr>
          <w:bCs/>
        </w:rPr>
        <w:br/>
      </w:r>
      <w:r w:rsidRPr="001C2AC5">
        <w:rPr>
          <w:bCs/>
        </w:rPr>
        <w:t>i instalacji Wykonawca będzie:</w:t>
      </w:r>
    </w:p>
    <w:p w14:paraId="1F42CEF0" w14:textId="77777777" w:rsidR="00460605" w:rsidRPr="001C2AC5" w:rsidRDefault="00460605" w:rsidP="00460605">
      <w:pPr>
        <w:spacing w:after="120"/>
        <w:jc w:val="both"/>
        <w:rPr>
          <w:bCs/>
        </w:rPr>
      </w:pPr>
      <w:r>
        <w:rPr>
          <w:bCs/>
        </w:rPr>
        <w:t xml:space="preserve">a) </w:t>
      </w:r>
      <w:r w:rsidRPr="001C2AC5">
        <w:rPr>
          <w:bCs/>
        </w:rPr>
        <w:t>podejmować wszelkie uzasadnione kroki mające na celu stosowanie się do przepisów i norm dotyczących ochrony środowiska na terenie i wokół terenu instalacji</w:t>
      </w:r>
      <w:r>
        <w:rPr>
          <w:bCs/>
        </w:rPr>
        <w:t>,</w:t>
      </w:r>
    </w:p>
    <w:p w14:paraId="6109847C" w14:textId="77777777" w:rsidR="00460605" w:rsidRDefault="00460605" w:rsidP="00460605">
      <w:pPr>
        <w:spacing w:after="120"/>
        <w:jc w:val="both"/>
        <w:rPr>
          <w:bCs/>
        </w:rPr>
      </w:pPr>
      <w:r>
        <w:rPr>
          <w:bCs/>
        </w:rPr>
        <w:t xml:space="preserve">b) </w:t>
      </w:r>
      <w:r w:rsidRPr="001C2AC5">
        <w:rPr>
          <w:bCs/>
        </w:rPr>
        <w:t xml:space="preserve">unikać uszkodzeń lub uciążliwości dla osób lub własności społecznej i innych, </w:t>
      </w:r>
      <w:r>
        <w:rPr>
          <w:bCs/>
        </w:rPr>
        <w:br/>
      </w:r>
      <w:r w:rsidRPr="001C2AC5">
        <w:rPr>
          <w:bCs/>
        </w:rPr>
        <w:t>a wynikających ze skażenia, hałasu lub innych przyczyn powstałych w następstwie jego sposobu działania.</w:t>
      </w:r>
    </w:p>
    <w:p w14:paraId="452C64D6" w14:textId="4457E9C7" w:rsidR="00460605" w:rsidRDefault="00460605" w:rsidP="00460605">
      <w:pPr>
        <w:spacing w:after="120"/>
        <w:jc w:val="both"/>
        <w:rPr>
          <w:bCs/>
        </w:rPr>
      </w:pPr>
      <w:r w:rsidRPr="001C2AC5">
        <w:rPr>
          <w:bCs/>
        </w:rPr>
        <w:t xml:space="preserve">Wykonawca odpowiada za ochronę instalacji na powierzchni ziemi i za urządzenia podziemne, takie jak rurociągi, kable, przewody itp. Wykonawca zapewni właściwe </w:t>
      </w:r>
      <w:r w:rsidRPr="001C2AC5">
        <w:rPr>
          <w:bCs/>
        </w:rPr>
        <w:lastRenderedPageBreak/>
        <w:t>oznaczenie i zabezpieczenie przed uszkodzeniem tych instalacji i urządzeń w czasie trwania dostawy i instalacji.</w:t>
      </w:r>
    </w:p>
    <w:p w14:paraId="53252CC6" w14:textId="402DAA41" w:rsidR="00460605" w:rsidRDefault="00460605" w:rsidP="00460605">
      <w:pPr>
        <w:spacing w:after="120"/>
        <w:jc w:val="both"/>
        <w:rPr>
          <w:bCs/>
        </w:rPr>
      </w:pPr>
      <w:r w:rsidRPr="001C2AC5">
        <w:rPr>
          <w:bCs/>
        </w:rPr>
        <w:t>Podczas realizacji dostawy i instalacji Wykonawca będzie przestrzegać przepisów dotyczących bezpieczeństwa i higieny pracy.</w:t>
      </w:r>
    </w:p>
    <w:p w14:paraId="54338943" w14:textId="77777777" w:rsidR="00460605" w:rsidRPr="001C2AC5" w:rsidRDefault="00460605" w:rsidP="00460605">
      <w:pPr>
        <w:spacing w:after="120"/>
        <w:jc w:val="both"/>
        <w:rPr>
          <w:bCs/>
        </w:rPr>
      </w:pPr>
      <w:r w:rsidRPr="001C2AC5">
        <w:rPr>
          <w:bCs/>
        </w:rPr>
        <w:t xml:space="preserve">W szczególności Wykonawca ma obowiązek zadbać, aby personel nie wykonywał pracy </w:t>
      </w:r>
      <w:r>
        <w:rPr>
          <w:bCs/>
        </w:rPr>
        <w:br/>
      </w:r>
      <w:r w:rsidRPr="001C2AC5">
        <w:rPr>
          <w:bCs/>
        </w:rPr>
        <w:t>w warunkach niebezpiecznych, szkodliwych dla zdrowia oraz niespełniających odpowiednich wymagań sanitarnych.</w:t>
      </w:r>
    </w:p>
    <w:p w14:paraId="5825A74E" w14:textId="77777777" w:rsidR="00460605" w:rsidRPr="001C2AC5" w:rsidRDefault="00460605" w:rsidP="00460605">
      <w:pPr>
        <w:spacing w:after="120"/>
        <w:jc w:val="both"/>
        <w:rPr>
          <w:bCs/>
        </w:rPr>
      </w:pPr>
      <w:r w:rsidRPr="001C2AC5">
        <w:rPr>
          <w:bCs/>
        </w:rPr>
        <w:t>Wykonawca zapewni i będzie utrzymywał wszelkie urządzenia zabezpieczające, socjalne oraz sprzęt i odpowiednią odzież dla ochrony życia i zdrowia osób zatrudnionych oraz dla zapewnienia bezpieczeństwa publicznego.</w:t>
      </w:r>
    </w:p>
    <w:p w14:paraId="37903E9E" w14:textId="77777777" w:rsidR="00460605" w:rsidRDefault="00460605" w:rsidP="00460605">
      <w:pPr>
        <w:spacing w:after="120"/>
        <w:jc w:val="both"/>
        <w:rPr>
          <w:bCs/>
        </w:rPr>
      </w:pPr>
      <w:r w:rsidRPr="001C2AC5">
        <w:rPr>
          <w:bCs/>
        </w:rPr>
        <w:t>Uznaje się, że wszelkie koszty związane z wypełnieniem wymagań określonych powyżej nie podlegają odrębnej zapłacie i są uwzględnione w cenie.</w:t>
      </w:r>
    </w:p>
    <w:p w14:paraId="33BF00BA" w14:textId="2CBFB1A2" w:rsidR="00460605" w:rsidRPr="00E0057D" w:rsidRDefault="00460605" w:rsidP="00460605">
      <w:pPr>
        <w:spacing w:after="120"/>
        <w:jc w:val="both"/>
        <w:rPr>
          <w:bCs/>
        </w:rPr>
      </w:pPr>
      <w:r w:rsidRPr="00E0057D">
        <w:rPr>
          <w:bCs/>
        </w:rPr>
        <w:t xml:space="preserve">Wykonawca zobowiązany jest znać wszystkie przepisy wydane przez władze centralne </w:t>
      </w:r>
      <w:r>
        <w:rPr>
          <w:bCs/>
        </w:rPr>
        <w:br/>
      </w:r>
      <w:r w:rsidRPr="00E0057D">
        <w:rPr>
          <w:bCs/>
        </w:rPr>
        <w:t xml:space="preserve">i miejscowe oraz inne przepisy i wytyczne, które są w jakikolwiek sposób związane z dostawą i instalacją i będzie w pełni odpowiedzialny za przestrzeganie tych praw, przepisów </w:t>
      </w:r>
      <w:r>
        <w:rPr>
          <w:bCs/>
        </w:rPr>
        <w:br/>
      </w:r>
      <w:r w:rsidRPr="00E0057D">
        <w:rPr>
          <w:bCs/>
        </w:rPr>
        <w:t>i wytycznych podczas prowadzenia dostawy i instalacji.</w:t>
      </w:r>
    </w:p>
    <w:p w14:paraId="418BA46E" w14:textId="77777777" w:rsidR="00460605" w:rsidRDefault="00460605" w:rsidP="00460605">
      <w:pPr>
        <w:spacing w:after="120"/>
        <w:jc w:val="both"/>
        <w:rPr>
          <w:bCs/>
        </w:rPr>
      </w:pPr>
      <w:r w:rsidRPr="00E0057D">
        <w:rPr>
          <w:bCs/>
        </w:rPr>
        <w:t>Wykonawca będzie przestrzegać praw patentowych i będzie w pełni odpowiedzialny za wypełnienie wszelkich wymagań prawnych odnośnie wykorzystania opatentowanych urządzeń lub metod i w sposób ciągły będzie informować Zamawiającego o swoich działaniach, przedstawiając kopie zezwoleń i inne odnośne dokumenty.</w:t>
      </w:r>
    </w:p>
    <w:p w14:paraId="251FA82F" w14:textId="56868A6A" w:rsidR="00460605" w:rsidRPr="00274623" w:rsidRDefault="00460605" w:rsidP="00460605">
      <w:pPr>
        <w:spacing w:after="120"/>
        <w:jc w:val="both"/>
        <w:rPr>
          <w:bCs/>
        </w:rPr>
      </w:pPr>
      <w:bookmarkStart w:id="1" w:name="_Hlk162522491"/>
      <w:r w:rsidRPr="006D21ED">
        <w:rPr>
          <w:bCs/>
        </w:rPr>
        <w:t xml:space="preserve">Dokumentacja, stanowiąca </w:t>
      </w:r>
      <w:r w:rsidRPr="00274623">
        <w:rPr>
          <w:bCs/>
        </w:rPr>
        <w:t xml:space="preserve">załączniki do niniejszej SWZ służy do ustalenia planowanych </w:t>
      </w:r>
      <w:r w:rsidRPr="00243A44">
        <w:rPr>
          <w:bCs/>
        </w:rPr>
        <w:t>kosztów robót budowlanych oraz prawidłowego</w:t>
      </w:r>
      <w:r w:rsidRPr="00274623">
        <w:rPr>
          <w:bCs/>
        </w:rPr>
        <w:t xml:space="preserve"> przygotowania oferty. </w:t>
      </w:r>
      <w:bookmarkEnd w:id="1"/>
      <w:r w:rsidRPr="00274623">
        <w:rPr>
          <w:bCs/>
        </w:rPr>
        <w:t>Określa rodzaj i zakres zamówienia niezbędnego do wykonania modernizacji oświetlenia drogowego na terenie Gminy. Zamawiający udostępnia Wykonawcom będące w jego posiadaniu dokumenty, informacje i opracowania niezbędne do prawidłowego przygotowania oferty. Wykonawca winien również uwzględnić w cenie swojej oferty uzyskanie wszelkich niezbędnych pozwoleń, certyfikatów, opinii, itp.</w:t>
      </w:r>
    </w:p>
    <w:p w14:paraId="4A83E9B1" w14:textId="4ED137CD" w:rsidR="00460605" w:rsidRPr="00274623" w:rsidRDefault="00460605" w:rsidP="00460605">
      <w:pPr>
        <w:spacing w:after="120"/>
        <w:jc w:val="both"/>
        <w:rPr>
          <w:bCs/>
        </w:rPr>
      </w:pPr>
      <w:r w:rsidRPr="00274623">
        <w:rPr>
          <w:bCs/>
        </w:rPr>
        <w:t xml:space="preserve">Przedmiot zamówienia obejmuje ponadto wykonanie w ramach oferowanej ceny ofertowej wszelkich niezbędnych prac pomocniczych i towarzyszących oraz robót tymczasowych i innych, niezbędnych oraz pominiętych w wycenie i dokumentacji, jednak bez których nie będzie można </w:t>
      </w:r>
      <w:r w:rsidRPr="000127DF">
        <w:rPr>
          <w:bCs/>
        </w:rPr>
        <w:t xml:space="preserve">ukończyć inwestycji oraz przystąpić </w:t>
      </w:r>
      <w:r w:rsidRPr="00274623">
        <w:rPr>
          <w:bCs/>
        </w:rPr>
        <w:t xml:space="preserve">do jego użytkowania, </w:t>
      </w:r>
      <w:r w:rsidRPr="00274623">
        <w:rPr>
          <w:bCs/>
        </w:rPr>
        <w:br/>
        <w:t>w szczególności:</w:t>
      </w:r>
    </w:p>
    <w:p w14:paraId="41A9043E" w14:textId="77777777" w:rsidR="00460605" w:rsidRPr="00274623" w:rsidRDefault="00460605" w:rsidP="00460605">
      <w:pPr>
        <w:pStyle w:val="Akapitzlist"/>
        <w:numPr>
          <w:ilvl w:val="0"/>
          <w:numId w:val="1"/>
        </w:numPr>
        <w:spacing w:after="120"/>
        <w:jc w:val="both"/>
        <w:rPr>
          <w:bCs/>
        </w:rPr>
      </w:pPr>
      <w:r w:rsidRPr="00274623">
        <w:rPr>
          <w:bCs/>
        </w:rPr>
        <w:t>Organizację, zagospodarowanie, utrzymanie i likwidację placu budowy oraz poniesienie kosztów z tym związanych,</w:t>
      </w:r>
    </w:p>
    <w:p w14:paraId="0C14894E" w14:textId="77777777" w:rsidR="00460605" w:rsidRPr="00274623" w:rsidRDefault="00460605" w:rsidP="00460605">
      <w:pPr>
        <w:pStyle w:val="Akapitzlist"/>
        <w:numPr>
          <w:ilvl w:val="0"/>
          <w:numId w:val="1"/>
        </w:numPr>
        <w:spacing w:after="120"/>
        <w:jc w:val="both"/>
        <w:rPr>
          <w:bCs/>
        </w:rPr>
      </w:pPr>
      <w:r w:rsidRPr="00274623">
        <w:rPr>
          <w:bCs/>
        </w:rPr>
        <w:t>Wykonanie lub pozyskanie we własnym zakresie oraz poniesienie kosztów:</w:t>
      </w:r>
    </w:p>
    <w:p w14:paraId="0AE43374" w14:textId="16F62700" w:rsidR="00460605" w:rsidRPr="00274623" w:rsidRDefault="00460605" w:rsidP="00460605">
      <w:pPr>
        <w:pStyle w:val="Akapitzlist"/>
        <w:spacing w:after="120"/>
        <w:jc w:val="both"/>
        <w:rPr>
          <w:bCs/>
        </w:rPr>
      </w:pPr>
      <w:r w:rsidRPr="00274623">
        <w:rPr>
          <w:bCs/>
        </w:rPr>
        <w:t xml:space="preserve">- uzgodnień, opinii, decyzji, analiz, badań, itp., niezbędnych do </w:t>
      </w:r>
      <w:r>
        <w:rPr>
          <w:bCs/>
        </w:rPr>
        <w:t>realizacji zadania</w:t>
      </w:r>
      <w:r w:rsidR="00A72E0C">
        <w:rPr>
          <w:bCs/>
        </w:rPr>
        <w:t>,</w:t>
      </w:r>
      <w:r w:rsidR="00A72E0C" w:rsidRPr="00A72E0C">
        <w:t xml:space="preserve"> </w:t>
      </w:r>
      <w:r w:rsidR="00A72E0C" w:rsidRPr="00A72E0C">
        <w:rPr>
          <w:bCs/>
        </w:rPr>
        <w:t>w tym aktualizację dokumentacji technicznej poprzez szczegółowe określenie typów i mocy opraw na każdym modernizowanym słupie</w:t>
      </w:r>
      <w:r w:rsidR="00A72E0C">
        <w:rPr>
          <w:bCs/>
        </w:rPr>
        <w:t xml:space="preserve"> </w:t>
      </w:r>
      <w:bookmarkStart w:id="2" w:name="_Hlk168507152"/>
      <w:r w:rsidR="00A72E0C">
        <w:rPr>
          <w:bCs/>
        </w:rPr>
        <w:t>zgodnie ze złożoną ofertą</w:t>
      </w:r>
      <w:bookmarkEnd w:id="2"/>
      <w:r w:rsidR="00A72E0C" w:rsidRPr="00A72E0C">
        <w:rPr>
          <w:bCs/>
        </w:rPr>
        <w:t xml:space="preserve"> i uzgodnienie dokumentacji technicznej po aktualizacji z Tauron Nowe Technologie S.A.</w:t>
      </w:r>
    </w:p>
    <w:p w14:paraId="6F96B2DE" w14:textId="77777777" w:rsidR="00460605" w:rsidRPr="00274623" w:rsidRDefault="00460605" w:rsidP="00460605">
      <w:pPr>
        <w:pStyle w:val="Akapitzlist"/>
        <w:spacing w:after="120"/>
        <w:jc w:val="both"/>
        <w:rPr>
          <w:bCs/>
        </w:rPr>
      </w:pPr>
      <w:r w:rsidRPr="00274623">
        <w:rPr>
          <w:bCs/>
        </w:rPr>
        <w:t>- projektów zmiany organizacji ruchu na czas prowadzenia robót, uzyskanie niezbędnych opinii organów, zatwierdzenie projektu przez organ zarządzający ruchem,</w:t>
      </w:r>
    </w:p>
    <w:p w14:paraId="0358E4AA" w14:textId="77777777" w:rsidR="00460605" w:rsidRPr="00274623" w:rsidRDefault="00460605" w:rsidP="00460605">
      <w:pPr>
        <w:pStyle w:val="Akapitzlist"/>
        <w:spacing w:after="120"/>
        <w:jc w:val="both"/>
        <w:rPr>
          <w:bCs/>
        </w:rPr>
      </w:pPr>
      <w:r w:rsidRPr="00274623">
        <w:rPr>
          <w:bCs/>
        </w:rPr>
        <w:t xml:space="preserve">- innych opracowań, prac i badań wymaganych dokumentacją projektowa, </w:t>
      </w:r>
    </w:p>
    <w:p w14:paraId="04490489" w14:textId="77777777" w:rsidR="00460605" w:rsidRPr="00274623" w:rsidRDefault="00460605" w:rsidP="00460605">
      <w:pPr>
        <w:pStyle w:val="Akapitzlist"/>
        <w:spacing w:after="120"/>
        <w:jc w:val="both"/>
        <w:rPr>
          <w:bCs/>
        </w:rPr>
      </w:pPr>
      <w:r w:rsidRPr="00274623">
        <w:rPr>
          <w:bCs/>
        </w:rPr>
        <w:t>- dokumentacji powykonawczej z naniesionymi zmianami dokonanymi w trakcie budowy, potwierdzonymi przez projektanta, kierownika budowy,</w:t>
      </w:r>
    </w:p>
    <w:p w14:paraId="003FA6C8" w14:textId="5E0807A1" w:rsidR="00460605" w:rsidRPr="00274623" w:rsidRDefault="00460605" w:rsidP="00460605">
      <w:pPr>
        <w:pStyle w:val="Akapitzlist"/>
        <w:spacing w:after="120"/>
        <w:jc w:val="both"/>
        <w:rPr>
          <w:bCs/>
        </w:rPr>
      </w:pPr>
      <w:r w:rsidRPr="00274623">
        <w:rPr>
          <w:bCs/>
        </w:rPr>
        <w:lastRenderedPageBreak/>
        <w:t xml:space="preserve">- zorganizowanie i przeprowadzenie niezbędnych prób, pomiarów, badań i sprawdzeń, które są niezbędne do wykonania przedmiotu zamówienia oraz poniesienia kosztów </w:t>
      </w:r>
      <w:r w:rsidRPr="00274623">
        <w:rPr>
          <w:bCs/>
        </w:rPr>
        <w:br/>
        <w:t>z tym związanych</w:t>
      </w:r>
      <w:r w:rsidR="00243A44">
        <w:rPr>
          <w:bCs/>
        </w:rPr>
        <w:t>.</w:t>
      </w:r>
    </w:p>
    <w:p w14:paraId="5A22EAB2" w14:textId="4B7119BA" w:rsidR="00460605" w:rsidRPr="00274623" w:rsidRDefault="00460605" w:rsidP="00460605">
      <w:pPr>
        <w:pStyle w:val="Akapitzlist"/>
        <w:numPr>
          <w:ilvl w:val="0"/>
          <w:numId w:val="1"/>
        </w:numPr>
        <w:spacing w:after="120"/>
        <w:jc w:val="both"/>
        <w:rPr>
          <w:bCs/>
        </w:rPr>
      </w:pPr>
      <w:r w:rsidRPr="00274623">
        <w:rPr>
          <w:bCs/>
        </w:rPr>
        <w:t xml:space="preserve">Zabezpieczenie terenu budowy zgodnie z obowiązującymi przepisami, </w:t>
      </w:r>
      <w:r>
        <w:rPr>
          <w:bCs/>
        </w:rPr>
        <w:br/>
      </w:r>
    </w:p>
    <w:p w14:paraId="0892874F" w14:textId="77777777" w:rsidR="00460605" w:rsidRPr="00274623" w:rsidRDefault="00460605" w:rsidP="00460605">
      <w:pPr>
        <w:pStyle w:val="Akapitzlist"/>
        <w:numPr>
          <w:ilvl w:val="0"/>
          <w:numId w:val="1"/>
        </w:numPr>
        <w:spacing w:after="120"/>
        <w:jc w:val="both"/>
        <w:rPr>
          <w:bCs/>
        </w:rPr>
      </w:pPr>
      <w:r w:rsidRPr="00274623">
        <w:rPr>
          <w:bCs/>
        </w:rPr>
        <w:t>Wykonanie, utrzymanie i likwidację tymczasowej organizacji ruchu, uzyskanie zgód zarządców dróg na zajęcie pasa drogowego oraz poniesienie kosztów z tym związanych,</w:t>
      </w:r>
    </w:p>
    <w:p w14:paraId="785D909A" w14:textId="77777777" w:rsidR="00460605" w:rsidRPr="00274623" w:rsidRDefault="00460605" w:rsidP="00460605">
      <w:pPr>
        <w:pStyle w:val="Akapitzlist"/>
        <w:numPr>
          <w:ilvl w:val="0"/>
          <w:numId w:val="1"/>
        </w:numPr>
        <w:spacing w:after="120"/>
        <w:jc w:val="both"/>
        <w:rPr>
          <w:bCs/>
        </w:rPr>
      </w:pPr>
      <w:r w:rsidRPr="00274623">
        <w:rPr>
          <w:bCs/>
        </w:rPr>
        <w:t>Zapewnienie i zabezpieczenie dostępu do posesji w miejscach prowadzenia robót,</w:t>
      </w:r>
    </w:p>
    <w:p w14:paraId="388158E9" w14:textId="77777777" w:rsidR="00460605" w:rsidRPr="00274623" w:rsidRDefault="00460605" w:rsidP="00460605">
      <w:pPr>
        <w:pStyle w:val="Akapitzlist"/>
        <w:numPr>
          <w:ilvl w:val="0"/>
          <w:numId w:val="1"/>
        </w:numPr>
        <w:spacing w:after="120"/>
        <w:jc w:val="both"/>
        <w:rPr>
          <w:bCs/>
        </w:rPr>
      </w:pPr>
      <w:r w:rsidRPr="00274623">
        <w:rPr>
          <w:bCs/>
        </w:rPr>
        <w:t>Zabezpieczenie mienia Wykonawcy zgromadzonego w miejscu składowania i na terenie wykonywania robót,</w:t>
      </w:r>
    </w:p>
    <w:p w14:paraId="553CAAF3" w14:textId="77777777" w:rsidR="00460605" w:rsidRPr="00274623" w:rsidRDefault="00460605" w:rsidP="00460605">
      <w:pPr>
        <w:pStyle w:val="Akapitzlist"/>
        <w:numPr>
          <w:ilvl w:val="0"/>
          <w:numId w:val="1"/>
        </w:numPr>
        <w:spacing w:after="120"/>
        <w:jc w:val="both"/>
        <w:rPr>
          <w:bCs/>
        </w:rPr>
      </w:pPr>
      <w:r w:rsidRPr="00274623">
        <w:rPr>
          <w:bCs/>
        </w:rPr>
        <w:t>Uporządkowanie terenu budowy po zakończeniu robót,</w:t>
      </w:r>
    </w:p>
    <w:p w14:paraId="137710FC" w14:textId="3615F98C" w:rsidR="00460605" w:rsidRPr="00274623" w:rsidRDefault="00460605" w:rsidP="00460605">
      <w:pPr>
        <w:pStyle w:val="Akapitzlist"/>
        <w:numPr>
          <w:ilvl w:val="0"/>
          <w:numId w:val="1"/>
        </w:numPr>
        <w:spacing w:after="120"/>
        <w:jc w:val="both"/>
        <w:rPr>
          <w:bCs/>
        </w:rPr>
      </w:pPr>
      <w:r w:rsidRPr="00274623">
        <w:rPr>
          <w:bCs/>
        </w:rPr>
        <w:t xml:space="preserve"> Przygotowanie dokumentacji powykonawczej w tym: protokołów odbiorów technicznych, instrukcji obsługi, protokołów badań, aprobat technicznych, atestów, deklaracji zgodności, itp.</w:t>
      </w:r>
    </w:p>
    <w:p w14:paraId="59D34BD1" w14:textId="57AB3C0C" w:rsidR="00460605" w:rsidRPr="00274623" w:rsidRDefault="00460605" w:rsidP="00460605">
      <w:pPr>
        <w:pStyle w:val="Akapitzlist"/>
        <w:numPr>
          <w:ilvl w:val="0"/>
          <w:numId w:val="1"/>
        </w:numPr>
        <w:spacing w:after="120"/>
        <w:jc w:val="both"/>
        <w:rPr>
          <w:bCs/>
        </w:rPr>
      </w:pPr>
      <w:r w:rsidRPr="00274623">
        <w:rPr>
          <w:bCs/>
        </w:rPr>
        <w:t xml:space="preserve"> Utrzymanie terenu budowy w stanie wolnym od przeszkód komunikacyjnych oraz usuwanie na bieżąco materiałów, odpadów i śmieci (zgodnie z przepisami prawa w tym zakresie) oraz poniesienie kosztów z tym związanych.</w:t>
      </w:r>
    </w:p>
    <w:p w14:paraId="4BD05BB2" w14:textId="005C4467" w:rsidR="00460605" w:rsidRPr="00274623" w:rsidRDefault="00460605" w:rsidP="00460605">
      <w:pPr>
        <w:spacing w:after="120"/>
        <w:jc w:val="both"/>
        <w:rPr>
          <w:bCs/>
        </w:rPr>
      </w:pPr>
      <w:r w:rsidRPr="00274623">
        <w:rPr>
          <w:bCs/>
        </w:rPr>
        <w:t>Roboty składające się na przedmiot zamówienia muszą być wykonane zgodnie                                  z obwiązującymi przepisami (w szczególności ustawy prawo budowlane, przepisami bhp                      i p.poż oraz branżowymi), jak również zgodnie z zasadami wiedzy technicznej, a także                             z należytą starannością, zachowaniem właściwej organizacji pracy i zapewnieniem dobrej jakości.</w:t>
      </w:r>
    </w:p>
    <w:p w14:paraId="13C1D793" w14:textId="2B318046" w:rsidR="00460605" w:rsidRPr="00274623" w:rsidRDefault="00460605" w:rsidP="00460605">
      <w:pPr>
        <w:spacing w:after="120"/>
        <w:jc w:val="both"/>
        <w:rPr>
          <w:bCs/>
        </w:rPr>
      </w:pPr>
      <w:r w:rsidRPr="00274623">
        <w:rPr>
          <w:bCs/>
        </w:rPr>
        <w:t xml:space="preserve">Materiały stosowane przez Wykonawcę podczas realizacji przedmiotu umowy powinny być </w:t>
      </w:r>
      <w:r w:rsidRPr="007455FE">
        <w:rPr>
          <w:bCs/>
        </w:rPr>
        <w:t>fabrycznie nowe,</w:t>
      </w:r>
      <w:r w:rsidR="007455FE">
        <w:rPr>
          <w:bCs/>
        </w:rPr>
        <w:t xml:space="preserve"> o roku produkcji nie starszym niż 2023, </w:t>
      </w:r>
      <w:r w:rsidRPr="007455FE">
        <w:rPr>
          <w:bCs/>
        </w:rPr>
        <w:t xml:space="preserve"> </w:t>
      </w:r>
      <w:r w:rsidR="00FB1C3D" w:rsidRPr="007455FE">
        <w:rPr>
          <w:bCs/>
        </w:rPr>
        <w:t>dopuszczone do obrotu</w:t>
      </w:r>
      <w:r w:rsidRPr="007455FE">
        <w:rPr>
          <w:bCs/>
        </w:rPr>
        <w:t xml:space="preserve"> na terenie Unii Europejskiej i odpowiadać</w:t>
      </w:r>
      <w:r w:rsidRPr="00274623">
        <w:rPr>
          <w:bCs/>
        </w:rPr>
        <w:t xml:space="preserve"> co do jakości wymogom wyrobów dopuszczonych do obrotu i stosowania w budownictwie, zgodnie z art. 10 ustawy z dnia 7 lipca 1994r. Prawo budowlane oraz jakościowym i gatunkowym wymaganiom określonym w opisie przedmiotu zamówienia oraz udostępnionych dokumentach.</w:t>
      </w:r>
    </w:p>
    <w:p w14:paraId="0E77E1B8" w14:textId="5E23872E" w:rsidR="00460605" w:rsidRPr="00274623" w:rsidRDefault="00460605" w:rsidP="00460605">
      <w:pPr>
        <w:spacing w:after="120"/>
        <w:jc w:val="both"/>
        <w:rPr>
          <w:bCs/>
        </w:rPr>
      </w:pPr>
      <w:r w:rsidRPr="00274623">
        <w:rPr>
          <w:bCs/>
        </w:rPr>
        <w:t>Wszystkie użyte materiały, wyroby oraz urządzenia muszą mieć aktualne dokumenty (atesty, aprobaty i deklaracje zgodności) dopuszczające do stosowania w budownictwie, zgodnie z przepisami obowiązującymi w tym zakresie.</w:t>
      </w:r>
    </w:p>
    <w:p w14:paraId="281B15FA" w14:textId="0F6DBDAF" w:rsidR="00460605" w:rsidRPr="00274623" w:rsidRDefault="00460605" w:rsidP="00460605">
      <w:pPr>
        <w:spacing w:after="120"/>
        <w:jc w:val="both"/>
        <w:rPr>
          <w:bCs/>
        </w:rPr>
      </w:pPr>
      <w:r w:rsidRPr="00274623">
        <w:rPr>
          <w:bCs/>
        </w:rPr>
        <w:t>Wykonawca robót ponosi odpowiedzialność za jakość wykonywanych robót oraz zastosowanych materiałów.</w:t>
      </w:r>
    </w:p>
    <w:p w14:paraId="3226F243" w14:textId="2E7AA3BC" w:rsidR="00460605" w:rsidRPr="00274623" w:rsidRDefault="00460605" w:rsidP="00460605">
      <w:pPr>
        <w:spacing w:after="120"/>
        <w:jc w:val="both"/>
        <w:rPr>
          <w:bCs/>
        </w:rPr>
      </w:pPr>
      <w:r w:rsidRPr="00274623">
        <w:rPr>
          <w:bCs/>
        </w:rPr>
        <w:t>Na każde żądanie Inspektora Nadzoru, Wykonawca zobowiązany jest okazać, w stosunku do wskazanych materiałów - krajowe deklaracje zgodności, aprobatę techniczną oraz wymagane atesty (kartę charakterystyki), krajową ocenę techniczną wydaną przez upoważnioną instytucję krajową.</w:t>
      </w:r>
    </w:p>
    <w:p w14:paraId="1B28B109" w14:textId="636C4D2F" w:rsidR="00460605" w:rsidRPr="00274623" w:rsidRDefault="00460605" w:rsidP="00460605">
      <w:pPr>
        <w:spacing w:after="120"/>
        <w:jc w:val="both"/>
        <w:rPr>
          <w:bCs/>
        </w:rPr>
      </w:pPr>
      <w:r w:rsidRPr="00274623">
        <w:rPr>
          <w:bCs/>
        </w:rPr>
        <w:t>Materiały uznane przez Zamawiającego za posiadające wady lub niezgodne ze specyfikacją techniczną wykonania i odbioru robót budowlanych muszą być niezwłocznie usunięte przez Wykonawcę z terenu budowy. Wykonawca nie ma prawa wykonywać robót z użyciem materiałów, które nie zostały zaakceptowane przez Inspektora Nadzoru.</w:t>
      </w:r>
    </w:p>
    <w:p w14:paraId="4ADF6B48" w14:textId="39694B16" w:rsidR="00460605" w:rsidRPr="003730E8" w:rsidRDefault="00460605" w:rsidP="00460605">
      <w:pPr>
        <w:jc w:val="both"/>
        <w:rPr>
          <w:bCs/>
        </w:rPr>
      </w:pPr>
      <w:r w:rsidRPr="003730E8">
        <w:rPr>
          <w:bCs/>
        </w:rPr>
        <w:t xml:space="preserve">Przy dokonywaniu wyceny przedmiotu zamówienia należy uwzględnić łącznie wszystkie dane z opisu przedmiotu zamówienia zawartego w SWZ oraz w udostępnionych dokumentach. </w:t>
      </w:r>
    </w:p>
    <w:p w14:paraId="78238B16" w14:textId="77777777" w:rsidR="00460605" w:rsidRPr="003730E8" w:rsidRDefault="00460605" w:rsidP="00460605">
      <w:pPr>
        <w:jc w:val="both"/>
        <w:rPr>
          <w:bCs/>
        </w:rPr>
      </w:pPr>
      <w:r w:rsidRPr="003730E8">
        <w:rPr>
          <w:bCs/>
        </w:rPr>
        <w:lastRenderedPageBreak/>
        <w:t>Wszystkie elementy opisu przedmiotu zamówienia ujęte SWZ, a nie ujęte w udostępnionych dokumentach lub nie ujęte w SWZ a ujęte w udostępnionych dokumentach winny być traktowane tak, jakby były ujęte w każdym z wymienionych dokumentów.</w:t>
      </w:r>
    </w:p>
    <w:p w14:paraId="069BB458" w14:textId="77777777" w:rsidR="00460605" w:rsidRPr="00B122B3" w:rsidRDefault="00460605" w:rsidP="00460605">
      <w:pPr>
        <w:jc w:val="both"/>
        <w:rPr>
          <w:bCs/>
          <w:color w:val="FF0000"/>
        </w:rPr>
      </w:pPr>
    </w:p>
    <w:p w14:paraId="1E62566F" w14:textId="4D523CE5" w:rsidR="00460605" w:rsidRPr="00EF1B42" w:rsidRDefault="004678F0" w:rsidP="00460605">
      <w:pPr>
        <w:jc w:val="both"/>
        <w:rPr>
          <w:b/>
          <w:bCs/>
          <w:u w:val="single"/>
        </w:rPr>
      </w:pPr>
      <w:r>
        <w:rPr>
          <w:b/>
          <w:bCs/>
        </w:rPr>
        <w:t>2</w:t>
      </w:r>
      <w:r w:rsidR="00460605" w:rsidRPr="00AD7595">
        <w:rPr>
          <w:b/>
          <w:bCs/>
        </w:rPr>
        <w:t>. Wspólny Słownik Zamówień CPV:</w:t>
      </w:r>
      <w:r w:rsidR="00460605" w:rsidRPr="00AD7595">
        <w:rPr>
          <w:b/>
          <w:bCs/>
          <w:u w:val="single"/>
        </w:rPr>
        <w:t xml:space="preserve"> </w:t>
      </w:r>
    </w:p>
    <w:p w14:paraId="3D9A9839" w14:textId="77777777" w:rsidR="00460605" w:rsidRPr="00EF1B42" w:rsidRDefault="00460605" w:rsidP="00460605">
      <w:pPr>
        <w:autoSpaceDE w:val="0"/>
        <w:autoSpaceDN w:val="0"/>
        <w:adjustRightInd w:val="0"/>
        <w:rPr>
          <w:rFonts w:eastAsiaTheme="minorHAnsi"/>
          <w:lang w:eastAsia="en-US"/>
        </w:rPr>
      </w:pPr>
      <w:r w:rsidRPr="00EF1B42">
        <w:rPr>
          <w:rFonts w:eastAsiaTheme="minorHAnsi"/>
          <w:lang w:eastAsia="en-US"/>
        </w:rPr>
        <w:t>31520000-7 Lampy i oprawy oświetleniowe</w:t>
      </w:r>
    </w:p>
    <w:p w14:paraId="6ECE8983" w14:textId="77777777" w:rsidR="00460605" w:rsidRPr="00EF1B42" w:rsidRDefault="00460605" w:rsidP="00460605">
      <w:pPr>
        <w:autoSpaceDE w:val="0"/>
        <w:autoSpaceDN w:val="0"/>
        <w:adjustRightInd w:val="0"/>
        <w:rPr>
          <w:rFonts w:eastAsiaTheme="minorHAnsi"/>
          <w:lang w:eastAsia="en-US"/>
        </w:rPr>
      </w:pPr>
      <w:r w:rsidRPr="00EF1B42">
        <w:rPr>
          <w:rFonts w:eastAsiaTheme="minorHAnsi"/>
          <w:lang w:eastAsia="en-US"/>
        </w:rPr>
        <w:t>45316110-9 Instalowanie urządzeń oświetlenia drogowego</w:t>
      </w:r>
    </w:p>
    <w:p w14:paraId="047E5962" w14:textId="77777777" w:rsidR="00460605" w:rsidRPr="00EF1B42" w:rsidRDefault="00460605" w:rsidP="00460605">
      <w:pPr>
        <w:autoSpaceDE w:val="0"/>
        <w:autoSpaceDN w:val="0"/>
        <w:adjustRightInd w:val="0"/>
        <w:rPr>
          <w:rFonts w:eastAsiaTheme="minorHAnsi"/>
          <w:lang w:eastAsia="en-US"/>
        </w:rPr>
      </w:pPr>
      <w:r w:rsidRPr="00EF1B42">
        <w:rPr>
          <w:rFonts w:eastAsiaTheme="minorHAnsi"/>
          <w:lang w:eastAsia="en-US"/>
        </w:rPr>
        <w:t>45311200-2 Roboty w zakresie instalacji elektrycznych</w:t>
      </w:r>
    </w:p>
    <w:p w14:paraId="3C3016D5" w14:textId="77777777" w:rsidR="00460605" w:rsidRPr="00EF1B42" w:rsidRDefault="00460605" w:rsidP="00460605">
      <w:pPr>
        <w:autoSpaceDE w:val="0"/>
        <w:autoSpaceDN w:val="0"/>
        <w:adjustRightInd w:val="0"/>
        <w:rPr>
          <w:rFonts w:eastAsiaTheme="minorHAnsi"/>
          <w:lang w:eastAsia="en-US"/>
        </w:rPr>
      </w:pPr>
      <w:r w:rsidRPr="00EF1B42">
        <w:rPr>
          <w:rFonts w:eastAsiaTheme="minorHAnsi"/>
          <w:lang w:eastAsia="en-US"/>
        </w:rPr>
        <w:t>71355200-3 Wykonywanie badań</w:t>
      </w:r>
    </w:p>
    <w:p w14:paraId="33D30690" w14:textId="77777777" w:rsidR="00460605" w:rsidRPr="00EF1B42" w:rsidRDefault="00460605" w:rsidP="00460605">
      <w:pPr>
        <w:autoSpaceDE w:val="0"/>
        <w:autoSpaceDN w:val="0"/>
        <w:adjustRightInd w:val="0"/>
        <w:rPr>
          <w:rFonts w:eastAsiaTheme="minorHAnsi"/>
          <w:lang w:eastAsia="en-US"/>
        </w:rPr>
      </w:pPr>
      <w:r w:rsidRPr="00EF1B42">
        <w:rPr>
          <w:rFonts w:eastAsiaTheme="minorHAnsi"/>
          <w:lang w:eastAsia="en-US"/>
        </w:rPr>
        <w:t>71321000-4 Usługi inżynierii projektowej dla mechanicznych i elektrycznych instalacji budowlanych</w:t>
      </w:r>
    </w:p>
    <w:p w14:paraId="41AF8A2B" w14:textId="77777777" w:rsidR="00460605" w:rsidRPr="00EF1B42" w:rsidRDefault="00460605" w:rsidP="00460605">
      <w:pPr>
        <w:autoSpaceDE w:val="0"/>
        <w:autoSpaceDN w:val="0"/>
        <w:adjustRightInd w:val="0"/>
        <w:rPr>
          <w:rFonts w:eastAsiaTheme="minorHAnsi"/>
          <w:lang w:eastAsia="en-US"/>
        </w:rPr>
      </w:pPr>
      <w:r w:rsidRPr="00EF1B42">
        <w:rPr>
          <w:rFonts w:eastAsiaTheme="minorHAnsi"/>
          <w:lang w:eastAsia="en-US"/>
        </w:rPr>
        <w:t>45316100-6 Instalowanie urządzeń oświetlenia zewnętrznego</w:t>
      </w:r>
    </w:p>
    <w:p w14:paraId="7114ACBC" w14:textId="77777777" w:rsidR="00460605" w:rsidRPr="00577CEF" w:rsidRDefault="00460605" w:rsidP="00460605">
      <w:pPr>
        <w:jc w:val="both"/>
        <w:rPr>
          <w:b/>
          <w:bCs/>
          <w:u w:val="single"/>
        </w:rPr>
      </w:pPr>
    </w:p>
    <w:p w14:paraId="41338FB3" w14:textId="29F450A7" w:rsidR="00460605" w:rsidRPr="00577CEF" w:rsidRDefault="004678F0" w:rsidP="00460605">
      <w:pPr>
        <w:jc w:val="both"/>
      </w:pPr>
      <w:r>
        <w:rPr>
          <w:b/>
        </w:rPr>
        <w:t>3</w:t>
      </w:r>
      <w:r w:rsidR="00460605" w:rsidRPr="00577CEF">
        <w:rPr>
          <w:b/>
        </w:rPr>
        <w:t>. Rozwiązania równoważne</w:t>
      </w:r>
      <w:r w:rsidR="00460605" w:rsidRPr="00577CEF">
        <w:t>.</w:t>
      </w:r>
    </w:p>
    <w:p w14:paraId="721C92FA" w14:textId="77777777" w:rsidR="00460605" w:rsidRPr="00577CEF" w:rsidRDefault="00460605" w:rsidP="00460605">
      <w:pPr>
        <w:pStyle w:val="Akapitzlist"/>
        <w:widowControl w:val="0"/>
        <w:numPr>
          <w:ilvl w:val="0"/>
          <w:numId w:val="2"/>
        </w:numPr>
        <w:autoSpaceDE w:val="0"/>
        <w:autoSpaceDN w:val="0"/>
        <w:adjustRightInd w:val="0"/>
        <w:ind w:left="567" w:right="-36" w:hanging="284"/>
        <w:jc w:val="both"/>
        <w:rPr>
          <w:spacing w:val="-1"/>
        </w:rPr>
      </w:pPr>
      <w:r w:rsidRPr="00577CEF">
        <w:rPr>
          <w:spacing w:val="-1"/>
        </w:rPr>
        <w:t>Jeżeli Zamawiający w opisie przedmiotu zamówienia (w SWZ wraz z załącznikami) wskazał nazwy własne, znaki towarowe, patenty lub pochodzenia, źródła lub szczególny proces, który charakteryzuje produkty lub usługi dostarczane przez konkretnego wykonawcę – nie są one wiążące i dopuszcza się zaoferowanie rozwiązań równoważnych opisanym, pod warunkiem zachowania przez nie takich samych minimalnych parametrów technicznych, jakościowych oraz funkcjonalnych. (Zwrot „równoważne” oznacza możliwość uzyskania efektu założonego przez Zamawiającego za pomocą innych rozwiązań technicznych).</w:t>
      </w:r>
    </w:p>
    <w:p w14:paraId="4D3F6F90" w14:textId="7B265463" w:rsidR="00460605" w:rsidRPr="00577CEF" w:rsidRDefault="00460605" w:rsidP="00460605">
      <w:pPr>
        <w:pStyle w:val="Akapitzlist"/>
        <w:widowControl w:val="0"/>
        <w:numPr>
          <w:ilvl w:val="0"/>
          <w:numId w:val="2"/>
        </w:numPr>
        <w:autoSpaceDE w:val="0"/>
        <w:autoSpaceDN w:val="0"/>
        <w:adjustRightInd w:val="0"/>
        <w:spacing w:before="11"/>
        <w:ind w:left="567" w:right="-36" w:hanging="284"/>
        <w:jc w:val="both"/>
        <w:rPr>
          <w:b/>
          <w:spacing w:val="-1"/>
        </w:rPr>
      </w:pPr>
      <w:r w:rsidRPr="00577CEF">
        <w:rPr>
          <w:spacing w:val="-1"/>
        </w:rPr>
        <w:t xml:space="preserve">Wykonawca, który powołuje się na rozwiązania równoważne, jest zobowiązany wykazać, że oferowane przez niego rozwiązanie spełnia wymagania określone przez Zamawiającego.  </w:t>
      </w:r>
    </w:p>
    <w:p w14:paraId="15A7D323" w14:textId="163C09F4" w:rsidR="00460605" w:rsidRPr="00577CEF" w:rsidRDefault="00460605" w:rsidP="00460605">
      <w:pPr>
        <w:pStyle w:val="Akapitzlist"/>
        <w:widowControl w:val="0"/>
        <w:numPr>
          <w:ilvl w:val="0"/>
          <w:numId w:val="2"/>
        </w:numPr>
        <w:autoSpaceDE w:val="0"/>
        <w:autoSpaceDN w:val="0"/>
        <w:adjustRightInd w:val="0"/>
        <w:spacing w:before="11"/>
        <w:ind w:left="567" w:right="-36" w:hanging="284"/>
        <w:jc w:val="both"/>
        <w:rPr>
          <w:spacing w:val="-1"/>
        </w:rPr>
      </w:pPr>
      <w:r w:rsidRPr="00577CEF">
        <w:rPr>
          <w:spacing w:val="-1"/>
        </w:rPr>
        <w:t>W przypadku, gdy w opisie przedmiotu zamówienia znajdą się odniesienia do norm, ocen technicznych, specyfikacji technicznych i systemów referencji technicznych, o których mowa w art. 101 ust. 1 pkt 2 oraz ust. 3 ustawy Pzp, Zamawiający dopuszcza rozwiązania równoważne.</w:t>
      </w:r>
    </w:p>
    <w:p w14:paraId="625BA7CD" w14:textId="77777777" w:rsidR="00460605" w:rsidRPr="00577CEF" w:rsidRDefault="00460605" w:rsidP="00460605">
      <w:pPr>
        <w:pStyle w:val="Akapitzlist"/>
        <w:widowControl w:val="0"/>
        <w:numPr>
          <w:ilvl w:val="0"/>
          <w:numId w:val="2"/>
        </w:numPr>
        <w:autoSpaceDE w:val="0"/>
        <w:autoSpaceDN w:val="0"/>
        <w:adjustRightInd w:val="0"/>
        <w:spacing w:before="11"/>
        <w:ind w:left="567" w:right="-36" w:hanging="284"/>
        <w:jc w:val="both"/>
        <w:rPr>
          <w:spacing w:val="-1"/>
        </w:rPr>
      </w:pPr>
      <w:r w:rsidRPr="00577CEF">
        <w:t>Użyte w dokumentach opisujących przedmiot zamówienia nazwy materiałów i urządzeń lub jakichkolwiek innych wyrobów lub produktów służą określeniu pożądanego standardu wykonania i określenia właściwości i wymogów techniczno – użytkowych założonych dla danego typu rozwiązań, nie są obowiązujące i należy je traktować, jako propozycje.</w:t>
      </w:r>
    </w:p>
    <w:p w14:paraId="71414540" w14:textId="3819BCF9" w:rsidR="00460605" w:rsidRPr="00577CEF" w:rsidRDefault="00460605" w:rsidP="00460605">
      <w:pPr>
        <w:pStyle w:val="Akapitzlist"/>
        <w:widowControl w:val="0"/>
        <w:numPr>
          <w:ilvl w:val="0"/>
          <w:numId w:val="2"/>
        </w:numPr>
        <w:autoSpaceDE w:val="0"/>
        <w:autoSpaceDN w:val="0"/>
        <w:adjustRightInd w:val="0"/>
        <w:spacing w:before="11"/>
        <w:ind w:left="567" w:right="-36" w:hanging="284"/>
        <w:jc w:val="both"/>
        <w:rPr>
          <w:spacing w:val="-1"/>
        </w:rPr>
      </w:pPr>
      <w:r w:rsidRPr="00577CEF">
        <w:rPr>
          <w:spacing w:val="-1"/>
        </w:rPr>
        <w:t xml:space="preserve">W przypadku zastosowania rozwiązań równoważnych, Wykonawca uzyska we własnym zakresie i na własny koszt stosowne pozwolenia oraz uzgodnienia wynikające ze zmiany na inne (np. nowoczesne) urządzenia, materiały stanowiące rozwiązania </w:t>
      </w:r>
      <w:r w:rsidR="004448F6" w:rsidRPr="00577CEF">
        <w:rPr>
          <w:spacing w:val="-1"/>
        </w:rPr>
        <w:t xml:space="preserve">równoważne,  </w:t>
      </w:r>
      <w:r w:rsidRPr="00577CEF">
        <w:rPr>
          <w:spacing w:val="-1"/>
        </w:rPr>
        <w:t xml:space="preserve">        w tym poniesie pełne koszty wynikające z wszelkich zmian. </w:t>
      </w:r>
    </w:p>
    <w:p w14:paraId="7B7012CC" w14:textId="77777777" w:rsidR="008645B6" w:rsidRDefault="008645B6"/>
    <w:sectPr w:rsidR="008645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6A2859"/>
    <w:multiLevelType w:val="hybridMultilevel"/>
    <w:tmpl w:val="27ECEBBC"/>
    <w:lvl w:ilvl="0" w:tplc="1102E3EA">
      <w:numFmt w:val="bullet"/>
      <w:lvlText w:val="•"/>
      <w:lvlJc w:val="left"/>
      <w:pPr>
        <w:ind w:left="72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32C5F47"/>
    <w:multiLevelType w:val="multilevel"/>
    <w:tmpl w:val="DF6A7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8E0BFC"/>
    <w:multiLevelType w:val="hybridMultilevel"/>
    <w:tmpl w:val="4DCC0B7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91813D6"/>
    <w:multiLevelType w:val="hybridMultilevel"/>
    <w:tmpl w:val="6E82D46E"/>
    <w:lvl w:ilvl="0" w:tplc="0C987A82">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78F63D44"/>
    <w:multiLevelType w:val="hybridMultilevel"/>
    <w:tmpl w:val="3954BB8C"/>
    <w:lvl w:ilvl="0" w:tplc="1102E3EA">
      <w:numFmt w:val="bullet"/>
      <w:lvlText w:val="•"/>
      <w:lvlJc w:val="left"/>
      <w:pPr>
        <w:ind w:left="72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43227268">
    <w:abstractNumId w:val="2"/>
  </w:num>
  <w:num w:numId="2" w16cid:durableId="795566703">
    <w:abstractNumId w:val="3"/>
  </w:num>
  <w:num w:numId="3" w16cid:durableId="2032754582">
    <w:abstractNumId w:val="4"/>
  </w:num>
  <w:num w:numId="4" w16cid:durableId="1144009212">
    <w:abstractNumId w:val="0"/>
  </w:num>
  <w:num w:numId="5" w16cid:durableId="18128687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0605"/>
    <w:rsid w:val="00076EB2"/>
    <w:rsid w:val="000A2F2F"/>
    <w:rsid w:val="000E599B"/>
    <w:rsid w:val="00192FC8"/>
    <w:rsid w:val="00193EED"/>
    <w:rsid w:val="001E5C95"/>
    <w:rsid w:val="002124A0"/>
    <w:rsid w:val="00243A44"/>
    <w:rsid w:val="002F5611"/>
    <w:rsid w:val="00393233"/>
    <w:rsid w:val="00393712"/>
    <w:rsid w:val="003A6801"/>
    <w:rsid w:val="003D7DEC"/>
    <w:rsid w:val="00407208"/>
    <w:rsid w:val="004362DF"/>
    <w:rsid w:val="004448F6"/>
    <w:rsid w:val="00460605"/>
    <w:rsid w:val="004678F0"/>
    <w:rsid w:val="004D7535"/>
    <w:rsid w:val="0055208E"/>
    <w:rsid w:val="006D1180"/>
    <w:rsid w:val="00734525"/>
    <w:rsid w:val="007455FE"/>
    <w:rsid w:val="00764F65"/>
    <w:rsid w:val="008645B6"/>
    <w:rsid w:val="00892436"/>
    <w:rsid w:val="008D1B15"/>
    <w:rsid w:val="0097155E"/>
    <w:rsid w:val="009C53B1"/>
    <w:rsid w:val="00A72E0C"/>
    <w:rsid w:val="00A93AE0"/>
    <w:rsid w:val="00AB09D5"/>
    <w:rsid w:val="00AB0CBE"/>
    <w:rsid w:val="00AC6157"/>
    <w:rsid w:val="00B13F19"/>
    <w:rsid w:val="00B47148"/>
    <w:rsid w:val="00B86995"/>
    <w:rsid w:val="00B93881"/>
    <w:rsid w:val="00DA0368"/>
    <w:rsid w:val="00DA761D"/>
    <w:rsid w:val="00DC567F"/>
    <w:rsid w:val="00E014D2"/>
    <w:rsid w:val="00E02263"/>
    <w:rsid w:val="00E436B6"/>
    <w:rsid w:val="00E77F2C"/>
    <w:rsid w:val="00EB2487"/>
    <w:rsid w:val="00FB1C3D"/>
    <w:rsid w:val="00FF63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B970C"/>
  <w15:docId w15:val="{6E483167-65C7-4401-A797-6147E75C7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0605"/>
    <w:pPr>
      <w:spacing w:after="0" w:line="240" w:lineRule="auto"/>
    </w:pPr>
    <w:rPr>
      <w:rFonts w:ascii="Times New Roman" w:eastAsia="Times New Roman" w:hAnsi="Times New Roman" w:cs="Times New Roman"/>
      <w:kern w:val="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460605"/>
    <w:pPr>
      <w:spacing w:before="100" w:beforeAutospacing="1" w:after="100" w:afterAutospacing="1"/>
    </w:pPr>
  </w:style>
  <w:style w:type="paragraph" w:styleId="Akapitzlist">
    <w:name w:val="List Paragraph"/>
    <w:aliases w:val="L1,Akapit z listą5,normalny tekst,CW_Lista,Numerowanie,Nagł. 4 SW,Akapit z listą BS,Wypunktowanie,Obiekt,List Paragraph1,Podsis rysunku,Nagłowek 3,Preambuła,Kolorowa lista — akcent 11,Dot pt,F5 List Paragraph,Recommendation"/>
    <w:basedOn w:val="Normalny"/>
    <w:link w:val="AkapitzlistZnak"/>
    <w:uiPriority w:val="34"/>
    <w:qFormat/>
    <w:rsid w:val="00460605"/>
    <w:pPr>
      <w:ind w:left="720"/>
      <w:contextualSpacing/>
    </w:pPr>
  </w:style>
  <w:style w:type="character" w:customStyle="1" w:styleId="AkapitzlistZnak">
    <w:name w:val="Akapit z listą Znak"/>
    <w:aliases w:val="L1 Znak,Akapit z listą5 Znak,normalny tekst Znak,CW_Lista Znak,Numerowanie Znak,Nagł. 4 SW Znak,Akapit z listą BS Znak,Wypunktowanie Znak,Obiekt Znak,List Paragraph1 Znak,Podsis rysunku Znak,Nagłowek 3 Znak,Preambuła Znak,Dot pt Znak"/>
    <w:link w:val="Akapitzlist"/>
    <w:uiPriority w:val="34"/>
    <w:qFormat/>
    <w:locked/>
    <w:rsid w:val="00460605"/>
    <w:rPr>
      <w:rFonts w:ascii="Times New Roman" w:eastAsia="Times New Roman" w:hAnsi="Times New Roman" w:cs="Times New Roman"/>
      <w:kern w:val="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77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5</Pages>
  <Words>2061</Words>
  <Characters>12372</Characters>
  <Application>Microsoft Office Word</Application>
  <DocSecurity>0</DocSecurity>
  <Lines>103</Lines>
  <Paragraphs>28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F</dc:creator>
  <cp:keywords/>
  <dc:description/>
  <cp:lastModifiedBy>Gmina Ryglice</cp:lastModifiedBy>
  <cp:revision>31</cp:revision>
  <dcterms:created xsi:type="dcterms:W3CDTF">2024-03-28T11:50:00Z</dcterms:created>
  <dcterms:modified xsi:type="dcterms:W3CDTF">2024-08-30T09:39:00Z</dcterms:modified>
</cp:coreProperties>
</file>