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0E" w:rsidRDefault="003E7F0E" w:rsidP="003E7F0E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 2</w:t>
      </w:r>
    </w:p>
    <w:p w:rsidR="003E7F0E" w:rsidRDefault="003E7F0E" w:rsidP="003E7F0E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3E7F0E" w:rsidRDefault="003E7F0E" w:rsidP="003E7F0E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bookmarkStart w:id="0" w:name="_Hlk135389676"/>
      <w:r>
        <w:rPr>
          <w:rFonts w:asciiTheme="minorHAnsi" w:hAnsiTheme="minorHAnsi" w:cstheme="minorHAnsi"/>
          <w:b/>
          <w:i/>
        </w:rPr>
        <w:t xml:space="preserve">Dostawa  aparatury medycznej w ramach CKD 2 dla Centralnego Szpitala Klinicznego </w:t>
      </w:r>
      <w:r>
        <w:rPr>
          <w:rFonts w:asciiTheme="minorHAnsi" w:hAnsiTheme="minorHAnsi" w:cstheme="minorHAnsi"/>
          <w:b/>
          <w:i/>
        </w:rPr>
        <w:br/>
        <w:t>Uniwersytetu Medycznego w Łodzi</w:t>
      </w:r>
      <w:bookmarkEnd w:id="0"/>
      <w:r>
        <w:rPr>
          <w:rFonts w:asciiTheme="minorHAnsi" w:hAnsiTheme="minorHAnsi" w:cstheme="minorHAnsi"/>
          <w:b/>
          <w:i/>
        </w:rPr>
        <w:t xml:space="preserve"> – ZP/167/2024</w:t>
      </w:r>
    </w:p>
    <w:p w:rsidR="00E06BFA" w:rsidRPr="00D16138" w:rsidRDefault="00FF1546" w:rsidP="00E7004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Aparat </w:t>
      </w:r>
      <w:r w:rsidR="00865B46">
        <w:rPr>
          <w:rFonts w:asciiTheme="minorHAnsi" w:hAnsiTheme="minorHAnsi" w:cstheme="minorHAnsi"/>
          <w:sz w:val="24"/>
          <w:szCs w:val="24"/>
        </w:rPr>
        <w:t>EMG</w:t>
      </w:r>
      <w:r w:rsidR="00D16138">
        <w:rPr>
          <w:rFonts w:asciiTheme="minorHAnsi" w:hAnsiTheme="minorHAnsi" w:cstheme="minorHAnsi"/>
          <w:sz w:val="24"/>
          <w:szCs w:val="24"/>
        </w:rPr>
        <w:t xml:space="preserve"> – 1 szt.</w:t>
      </w:r>
    </w:p>
    <w:p w:rsidR="00E06BFA" w:rsidRPr="00BF2652" w:rsidRDefault="00E06BFA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636E24" w:rsidRPr="00690D5A" w:rsidRDefault="00A33D41" w:rsidP="00D16138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>ZESTAWIENIE PARAMETRÓW TECHNICZNYCH</w:t>
      </w:r>
      <w:r w:rsidRPr="00690D5A">
        <w:rPr>
          <w:rFonts w:asciiTheme="minorHAnsi" w:hAnsiTheme="minorHAnsi" w:cstheme="minorHAnsi"/>
          <w:b/>
          <w:lang w:eastAsia="pl-P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4409"/>
        <w:gridCol w:w="1470"/>
        <w:gridCol w:w="2638"/>
      </w:tblGrid>
      <w:tr w:rsidR="00636E24" w:rsidRPr="00690D5A" w:rsidTr="00D16138">
        <w:tc>
          <w:tcPr>
            <w:tcW w:w="301" w:type="pct"/>
            <w:vAlign w:val="center"/>
          </w:tcPr>
          <w:p w:rsidR="00636E24" w:rsidRPr="00690D5A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434" w:type="pct"/>
            <w:vAlign w:val="center"/>
          </w:tcPr>
          <w:p w:rsidR="00636E24" w:rsidRPr="00690D5A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809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1457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Parametry oferowane</w:t>
            </w:r>
          </w:p>
        </w:tc>
      </w:tr>
      <w:tr w:rsidR="001940E4" w:rsidRPr="00690D5A" w:rsidTr="00D16138">
        <w:tc>
          <w:tcPr>
            <w:tcW w:w="301" w:type="pct"/>
            <w:vAlign w:val="center"/>
          </w:tcPr>
          <w:p w:rsidR="001940E4" w:rsidRPr="00690D5A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434" w:type="pct"/>
            <w:vAlign w:val="center"/>
          </w:tcPr>
          <w:p w:rsidR="001940E4" w:rsidRPr="00690D5A" w:rsidRDefault="001940E4" w:rsidP="00690D5A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809" w:type="pct"/>
            <w:vAlign w:val="center"/>
          </w:tcPr>
          <w:p w:rsidR="001940E4" w:rsidRPr="00690D5A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57" w:type="pct"/>
          </w:tcPr>
          <w:p w:rsidR="001940E4" w:rsidRPr="00690D5A" w:rsidRDefault="001940E4" w:rsidP="001940E4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636E24" w:rsidRPr="00690D5A" w:rsidTr="00D16138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34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809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57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D16138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34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809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57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D16138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434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809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57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D16138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34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809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57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D16138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434" w:type="pct"/>
            <w:vAlign w:val="center"/>
          </w:tcPr>
          <w:p w:rsidR="00636E24" w:rsidRPr="00690D5A" w:rsidRDefault="00D16026" w:rsidP="000754BA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Rok produkcji </w:t>
            </w:r>
            <w:r w:rsidR="002808DE" w:rsidRPr="00690D5A">
              <w:rPr>
                <w:rFonts w:asciiTheme="minorHAnsi" w:hAnsiTheme="minorHAnsi" w:cstheme="minorHAnsi"/>
              </w:rPr>
              <w:t>2024</w:t>
            </w:r>
            <w:r w:rsidR="00636E24" w:rsidRPr="00690D5A">
              <w:rPr>
                <w:rFonts w:asciiTheme="minorHAnsi" w:hAnsiTheme="minorHAnsi" w:cstheme="minorHAnsi"/>
              </w:rPr>
              <w:t>, urządzenie fabrycznie nowe, nie rekondycjonowane</w:t>
            </w:r>
          </w:p>
        </w:tc>
        <w:tc>
          <w:tcPr>
            <w:tcW w:w="809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D16138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434" w:type="pct"/>
            <w:vAlign w:val="center"/>
          </w:tcPr>
          <w:p w:rsidR="00636E24" w:rsidRPr="00690D5A" w:rsidRDefault="0087150F" w:rsidP="0087150F">
            <w:pPr>
              <w:pStyle w:val="Nagwek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809" w:type="pct"/>
            <w:vAlign w:val="center"/>
          </w:tcPr>
          <w:p w:rsidR="00636E24" w:rsidRPr="00690D5A" w:rsidRDefault="00DF69AA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D16138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434" w:type="pct"/>
            <w:vAlign w:val="center"/>
          </w:tcPr>
          <w:p w:rsidR="00960E2D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Klasyfikacja zgodna z normą IEC/EN 60601-1, ochrona przed porażeniem prądem</w:t>
            </w:r>
            <w:r w:rsidR="00960E2D" w:rsidRPr="00690D5A">
              <w:rPr>
                <w:rFonts w:asciiTheme="minorHAnsi" w:hAnsiTheme="minorHAnsi" w:cstheme="minorHAnsi"/>
              </w:rPr>
              <w:t xml:space="preserve"> lub równoważna</w:t>
            </w:r>
          </w:p>
        </w:tc>
        <w:tc>
          <w:tcPr>
            <w:tcW w:w="809" w:type="pct"/>
            <w:vAlign w:val="center"/>
          </w:tcPr>
          <w:p w:rsidR="00636E24" w:rsidRPr="00690D5A" w:rsidRDefault="00FB0BD2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  <w:vAlign w:val="bottom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D16138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434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 Ochrona przed wilgocią </w:t>
            </w:r>
            <w:r w:rsidR="00960E2D" w:rsidRPr="00690D5A">
              <w:rPr>
                <w:rFonts w:asciiTheme="minorHAnsi" w:hAnsiTheme="minorHAnsi" w:cstheme="minorHAnsi"/>
              </w:rPr>
              <w:t>lub równoważna</w:t>
            </w:r>
          </w:p>
        </w:tc>
        <w:tc>
          <w:tcPr>
            <w:tcW w:w="809" w:type="pct"/>
            <w:vAlign w:val="center"/>
          </w:tcPr>
          <w:p w:rsidR="00A354E1" w:rsidRPr="00690D5A" w:rsidRDefault="00A354E1" w:rsidP="00636E2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57" w:type="pct"/>
            <w:vAlign w:val="bottom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D16138">
        <w:tc>
          <w:tcPr>
            <w:tcW w:w="301" w:type="pct"/>
            <w:vAlign w:val="center"/>
          </w:tcPr>
          <w:p w:rsidR="00636E24" w:rsidRPr="001C09B8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34" w:type="pct"/>
            <w:vAlign w:val="center"/>
          </w:tcPr>
          <w:p w:rsidR="00636E24" w:rsidRPr="001C09B8" w:rsidRDefault="00FB0BD2" w:rsidP="00636E24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809" w:type="pct"/>
            <w:vAlign w:val="center"/>
          </w:tcPr>
          <w:p w:rsidR="00636E24" w:rsidRPr="001C09B8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pct"/>
            <w:vAlign w:val="bottom"/>
          </w:tcPr>
          <w:p w:rsidR="00636E24" w:rsidRPr="001C09B8" w:rsidRDefault="00636E24" w:rsidP="00636E24">
            <w:pPr>
              <w:rPr>
                <w:rFonts w:asciiTheme="minorHAnsi" w:hAnsiTheme="minorHAnsi" w:cstheme="minorHAnsi"/>
              </w:rPr>
            </w:pPr>
          </w:p>
        </w:tc>
      </w:tr>
      <w:tr w:rsidR="00865B46" w:rsidRPr="00690D5A" w:rsidTr="00D16138">
        <w:tc>
          <w:tcPr>
            <w:tcW w:w="301" w:type="pct"/>
            <w:vAlign w:val="center"/>
          </w:tcPr>
          <w:p w:rsidR="00865B46" w:rsidRPr="001C09B8" w:rsidRDefault="00865B46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34" w:type="pct"/>
            <w:vAlign w:val="center"/>
          </w:tcPr>
          <w:p w:rsidR="00865B46" w:rsidRPr="001C09B8" w:rsidRDefault="00865B46" w:rsidP="00636E24">
            <w:pPr>
              <w:rPr>
                <w:rFonts w:asciiTheme="minorHAnsi" w:hAnsiTheme="minorHAnsi" w:cstheme="minorHAnsi"/>
                <w:b/>
                <w:bCs/>
              </w:rPr>
            </w:pPr>
            <w:r w:rsidRPr="00865B46">
              <w:rPr>
                <w:rFonts w:asciiTheme="minorHAnsi" w:hAnsiTheme="minorHAnsi" w:cstheme="minorHAnsi"/>
                <w:b/>
                <w:bCs/>
              </w:rPr>
              <w:t>Głowica wzmacniaczy</w:t>
            </w:r>
          </w:p>
        </w:tc>
        <w:tc>
          <w:tcPr>
            <w:tcW w:w="809" w:type="pct"/>
            <w:vAlign w:val="center"/>
          </w:tcPr>
          <w:p w:rsidR="00865B46" w:rsidRPr="001C09B8" w:rsidRDefault="00865B46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pct"/>
            <w:vAlign w:val="bottom"/>
          </w:tcPr>
          <w:p w:rsidR="00865B46" w:rsidRPr="001C09B8" w:rsidRDefault="00865B46" w:rsidP="00636E24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34" w:type="pct"/>
            <w:vAlign w:val="center"/>
          </w:tcPr>
          <w:p w:rsidR="00865B46" w:rsidRPr="00865B46" w:rsidRDefault="00865B46" w:rsidP="00865B46">
            <w:pPr>
              <w:snapToGrid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Impedancja wejściowa:</w:t>
            </w:r>
          </w:p>
          <w:p w:rsidR="00865B46" w:rsidRPr="00865B46" w:rsidRDefault="00865B46" w:rsidP="00865B46">
            <w:pPr>
              <w:snapToGrid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a.</w:t>
            </w: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ab/>
              <w:t xml:space="preserve">&gt; 200 MΩ w trybie różnicowym, </w:t>
            </w:r>
          </w:p>
          <w:p w:rsidR="00E06BFA" w:rsidRPr="001C09B8" w:rsidRDefault="00865B46" w:rsidP="00865B46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b.</w:t>
            </w: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ab/>
              <w:t>&gt; 1000 MΩ w trybie wspólnym</w:t>
            </w:r>
          </w:p>
        </w:tc>
        <w:tc>
          <w:tcPr>
            <w:tcW w:w="809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457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34" w:type="pct"/>
          </w:tcPr>
          <w:p w:rsidR="001D15F3" w:rsidRPr="001C09B8" w:rsidRDefault="00865B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Poziom szumów przy zwartym wejściu w paśmie 2 </w:t>
            </w:r>
            <w:proofErr w:type="spellStart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Hz</w:t>
            </w:r>
            <w:proofErr w:type="spellEnd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 – 10 kHz: 0,4 µ</w:t>
            </w:r>
            <w:proofErr w:type="spellStart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Vrms</w:t>
            </w:r>
            <w:proofErr w:type="spellEnd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  <w:tc>
          <w:tcPr>
            <w:tcW w:w="809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457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2434" w:type="pct"/>
          </w:tcPr>
          <w:p w:rsidR="00E06BFA" w:rsidRPr="001C09B8" w:rsidRDefault="00865B46" w:rsidP="00B34D7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hAnsiTheme="minorHAnsi" w:cstheme="minorHAnsi"/>
                <w:color w:val="000000"/>
              </w:rPr>
              <w:t xml:space="preserve">Współczynnik tłumienia sygnałów współbieżnych, CMRR &gt; 124 </w:t>
            </w:r>
            <w:proofErr w:type="spellStart"/>
            <w:r w:rsidRPr="00865B46">
              <w:rPr>
                <w:rFonts w:asciiTheme="minorHAnsi" w:hAnsiTheme="minorHAnsi" w:cstheme="minorHAnsi"/>
                <w:color w:val="000000"/>
              </w:rPr>
              <w:t>dB</w:t>
            </w:r>
            <w:proofErr w:type="spellEnd"/>
            <w:r w:rsidRPr="00865B46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809" w:type="pct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457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34" w:type="pct"/>
          </w:tcPr>
          <w:p w:rsidR="001D15F3" w:rsidRPr="001C09B8" w:rsidRDefault="00865B46" w:rsidP="001D15F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65B46">
              <w:rPr>
                <w:rFonts w:asciiTheme="minorHAnsi" w:hAnsiTheme="minorHAnsi" w:cstheme="minorHAnsi"/>
                <w:color w:val="000000"/>
              </w:rPr>
              <w:t>Rozdzielczość przetwarzania A/C dla wszystkich sygnałów NCS/EMG/EP: 24 bity.</w:t>
            </w:r>
          </w:p>
        </w:tc>
        <w:tc>
          <w:tcPr>
            <w:tcW w:w="809" w:type="pct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434" w:type="pct"/>
          </w:tcPr>
          <w:p w:rsidR="00E06BFA" w:rsidRPr="001C09B8" w:rsidRDefault="00865B46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65B46">
              <w:rPr>
                <w:rFonts w:asciiTheme="minorHAnsi" w:hAnsiTheme="minorHAnsi" w:cstheme="minorHAnsi"/>
                <w:color w:val="000000"/>
              </w:rPr>
              <w:t>Regulacja podstawy czasu: 0,1 ms/</w:t>
            </w:r>
            <w:proofErr w:type="spellStart"/>
            <w:r w:rsidRPr="00865B46">
              <w:rPr>
                <w:rFonts w:asciiTheme="minorHAnsi" w:hAnsiTheme="minorHAnsi" w:cstheme="minorHAnsi"/>
                <w:color w:val="000000"/>
              </w:rPr>
              <w:t>dz</w:t>
            </w:r>
            <w:proofErr w:type="spellEnd"/>
            <w:r w:rsidRPr="00865B46">
              <w:rPr>
                <w:rFonts w:asciiTheme="minorHAnsi" w:hAnsiTheme="minorHAnsi" w:cstheme="minorHAnsi"/>
                <w:color w:val="000000"/>
              </w:rPr>
              <w:t xml:space="preserve"> - 16 s/dz.</w:t>
            </w:r>
          </w:p>
        </w:tc>
        <w:tc>
          <w:tcPr>
            <w:tcW w:w="809" w:type="pct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457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434" w:type="pct"/>
          </w:tcPr>
          <w:p w:rsidR="00E06BFA" w:rsidRPr="001C09B8" w:rsidRDefault="00865B46" w:rsidP="001D15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Filtr górnoprzepustowy – dolna częstotliwość graniczna (-3dB): 0,01 </w:t>
            </w:r>
            <w:proofErr w:type="spellStart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Hz</w:t>
            </w:r>
            <w:proofErr w:type="spellEnd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 – 3 kHz.</w:t>
            </w:r>
          </w:p>
        </w:tc>
        <w:tc>
          <w:tcPr>
            <w:tcW w:w="809" w:type="pct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457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434" w:type="pct"/>
          </w:tcPr>
          <w:p w:rsidR="00E06BFA" w:rsidRPr="001C09B8" w:rsidRDefault="00865B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Filtr dolnoprzepustowy – górne częstotliwość graniczna (-3dB): 20 </w:t>
            </w:r>
            <w:proofErr w:type="spellStart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Hz</w:t>
            </w:r>
            <w:proofErr w:type="spellEnd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 – 13 kHz.</w:t>
            </w:r>
          </w:p>
        </w:tc>
        <w:tc>
          <w:tcPr>
            <w:tcW w:w="809" w:type="pct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457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434" w:type="pct"/>
          </w:tcPr>
          <w:p w:rsidR="00E06BFA" w:rsidRPr="001C09B8" w:rsidRDefault="00865B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Filtr pasmowy 50 </w:t>
            </w:r>
            <w:proofErr w:type="spellStart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Hz</w:t>
            </w:r>
            <w:proofErr w:type="spellEnd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 (przeciwzakłóceniowy).</w:t>
            </w:r>
          </w:p>
        </w:tc>
        <w:tc>
          <w:tcPr>
            <w:tcW w:w="809" w:type="pct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457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65B46" w:rsidRPr="00690D5A" w:rsidTr="00D16138">
        <w:tc>
          <w:tcPr>
            <w:tcW w:w="301" w:type="pct"/>
            <w:vAlign w:val="center"/>
          </w:tcPr>
          <w:p w:rsidR="00865B46" w:rsidRPr="001C09B8" w:rsidRDefault="00865B46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34" w:type="pct"/>
          </w:tcPr>
          <w:p w:rsidR="00865B46" w:rsidRPr="00865B46" w:rsidRDefault="00865B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b/>
                <w:lang w:eastAsia="pl-PL"/>
              </w:rPr>
              <w:t>Stymulator prądowy</w:t>
            </w:r>
          </w:p>
        </w:tc>
        <w:tc>
          <w:tcPr>
            <w:tcW w:w="809" w:type="pct"/>
          </w:tcPr>
          <w:p w:rsidR="00865B46" w:rsidRPr="001C09B8" w:rsidRDefault="00865B46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pct"/>
            <w:vAlign w:val="bottom"/>
          </w:tcPr>
          <w:p w:rsidR="00865B46" w:rsidRPr="001C09B8" w:rsidRDefault="00865B46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434" w:type="pct"/>
          </w:tcPr>
          <w:p w:rsidR="001D15F3" w:rsidRPr="001C09B8" w:rsidRDefault="00865B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Maksymalne natężenie prądu stymulującego: 100 </w:t>
            </w:r>
            <w:proofErr w:type="spellStart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mA</w:t>
            </w:r>
            <w:proofErr w:type="spellEnd"/>
          </w:p>
        </w:tc>
        <w:tc>
          <w:tcPr>
            <w:tcW w:w="809" w:type="pct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457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434" w:type="pct"/>
          </w:tcPr>
          <w:p w:rsidR="00FF1546" w:rsidRPr="001C09B8" w:rsidRDefault="00865B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Czas trwania impulsu stymulującego: 0,02 - 1 ms</w:t>
            </w:r>
          </w:p>
        </w:tc>
        <w:tc>
          <w:tcPr>
            <w:tcW w:w="809" w:type="pct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457" w:type="pct"/>
            <w:vAlign w:val="bottom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434" w:type="pct"/>
          </w:tcPr>
          <w:p w:rsidR="00FF1546" w:rsidRPr="001C09B8" w:rsidRDefault="00865B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Maksymalna częstość stymulacji: 200 </w:t>
            </w:r>
            <w:proofErr w:type="spellStart"/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Hz</w:t>
            </w:r>
            <w:proofErr w:type="spellEnd"/>
          </w:p>
        </w:tc>
        <w:tc>
          <w:tcPr>
            <w:tcW w:w="809" w:type="pct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457" w:type="pct"/>
            <w:vAlign w:val="bottom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434" w:type="pct"/>
          </w:tcPr>
          <w:p w:rsidR="00FF1546" w:rsidRPr="001C09B8" w:rsidRDefault="00865B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Stymulacja z częstością zmienianą losowo z regulacją procentowego odchylenia od zadanej częstości maksymalnej</w:t>
            </w:r>
          </w:p>
        </w:tc>
        <w:tc>
          <w:tcPr>
            <w:tcW w:w="809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  <w:vAlign w:val="bottom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34D79" w:rsidRPr="00690D5A" w:rsidTr="00D16138">
        <w:tc>
          <w:tcPr>
            <w:tcW w:w="301" w:type="pct"/>
            <w:vAlign w:val="center"/>
          </w:tcPr>
          <w:p w:rsidR="00B34D79" w:rsidRPr="001C09B8" w:rsidRDefault="00B34D79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34" w:type="pct"/>
          </w:tcPr>
          <w:p w:rsidR="00B34D79" w:rsidRPr="001C09B8" w:rsidRDefault="00865B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hAnsiTheme="minorHAnsi" w:cstheme="minorHAnsi"/>
                <w:b/>
                <w:bCs/>
              </w:rPr>
              <w:t>Budowa aparatu</w:t>
            </w:r>
          </w:p>
        </w:tc>
        <w:tc>
          <w:tcPr>
            <w:tcW w:w="809" w:type="pct"/>
          </w:tcPr>
          <w:p w:rsidR="00B34D79" w:rsidRPr="001C09B8" w:rsidRDefault="00B34D79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pct"/>
            <w:vAlign w:val="bottom"/>
          </w:tcPr>
          <w:p w:rsidR="00B34D79" w:rsidRPr="001C09B8" w:rsidRDefault="00B34D79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Wózek o specjalizowanej, metalowej, solidnej budowie, wyposażony w: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Duże ogumowane koła z blokadą w 2 kołach,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Wbudowany w sposób trwały komputer PC,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Panel gniazd do podłączenia urządzeń współpracujących,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Wbudowany w sposób trwały w podstawę wózka transformator separujący 230/230V 50Hz,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Wychylno-obrotowe ramię dla głowicy wzmacniaczy i stymulatora prądowego,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Integralny, zamontowany trwale, statyw dla monitora LCD z regulacją w pionie, kącie obrotu i kącie nachylenia,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Półkę na panel sterujący,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Wysuwaną szufladę na klawiaturę PC,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Półkę dla drukarki,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Pojemnik na akcesoria,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Zintegrowane uchwyty dla słuchawek AEP i przełącznika nożnego,</w:t>
            </w:r>
          </w:p>
          <w:p w:rsidR="00E06BFA" w:rsidRPr="001C09B8" w:rsidRDefault="006C2476" w:rsidP="00865B4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Kable łączące elementy systemu ukryte wewnątrz wózka, a kabel do głowicy wzmacniaczy wewnątrz ramienia głowicy.</w:t>
            </w:r>
          </w:p>
        </w:tc>
        <w:tc>
          <w:tcPr>
            <w:tcW w:w="809" w:type="pct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Panel sterujący, jednomodułowy, wyposażony w następujące manipulatory i klawisze funkcyjne: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6 kodowanych kolorami przycisków nawigacyjnych oprogramowania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12 kodowanych kolorami przycisków funkcyjnych oprogramowania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Pokrętło regulacji intensywności bodźca i pokrętło głośności dźwięku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Przycisk pojedynczej stymulacji i przycisk stymulacji powtarzalnej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Przyciski zmiany czasu trwania bodźca stymulującego i częstości powtarzania bodźców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Przyciski regulacji parametrów prezentacji przebiegów (szybkość przesuwu / poziom czułości)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Blok klawiatury numerycznej</w:t>
            </w:r>
          </w:p>
          <w:p w:rsidR="00E06BFA" w:rsidRPr="001C09B8" w:rsidRDefault="006C2476" w:rsidP="00865B4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Wskaźniki zasilania, trybu gotowości, stymulacji, głośności i trybu kursora</w:t>
            </w:r>
          </w:p>
        </w:tc>
        <w:tc>
          <w:tcPr>
            <w:tcW w:w="809" w:type="pct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 </w:t>
            </w: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Głowica wejściowa, 4-kanałowa, jednomodułowa, bezpośrednio połączona z aparatem za pomocą kabla UTP, standard LAN, z wtykiem zabezpieczonym przed przypadkowym wypięciem kabla, zamontowana na ruchomym ramieniu wózka, wyposażona w: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4 zespoły gniazd: 1 DIN i 2 TP,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2 gniazda TP dla elektrody uziemiającej,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Klawisz testu impedancji elektrod wraz ze wskaźnikiem LED,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Klawisz wyciszenia głośnika wraz ze wskaźnikiem LED,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Wszystkie gniazda aktywne i referencyjne wyposażone we wskaźniki LED pomiaru impedancji,</w:t>
            </w:r>
          </w:p>
          <w:p w:rsidR="00E06BFA" w:rsidRPr="001C09B8" w:rsidRDefault="006C2476" w:rsidP="00865B4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Wskaźnik zasilania.</w:t>
            </w:r>
          </w:p>
        </w:tc>
        <w:tc>
          <w:tcPr>
            <w:tcW w:w="809" w:type="pct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865B46" w:rsidRPr="00690D5A" w:rsidTr="00D16138">
        <w:tc>
          <w:tcPr>
            <w:tcW w:w="301" w:type="pct"/>
            <w:vAlign w:val="center"/>
          </w:tcPr>
          <w:p w:rsidR="00865B46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Głowica wejściowa, 6-kanałowa, jednomodułowa, bezpośrednio połączona z aparatem za pomocą kabla UTP, standard LAN, z wtykiem zabezpieczonym przed przypadkowym wypięciem kabla, zamontowana na giętkim ramieniu, wyposażona w: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24 gniazda TP,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2 gniazda TP dla elektrody uziemiającej,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Klawisz testu impedancji elektrod wraz ze wskaźnikiem LED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Wszystkie gniazda wyposażone we wskaźniki LED pomiaru impedancji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Wskaźnik zasilania</w:t>
            </w:r>
          </w:p>
        </w:tc>
        <w:tc>
          <w:tcPr>
            <w:tcW w:w="809" w:type="pct"/>
          </w:tcPr>
          <w:p w:rsidR="00865B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865B46" w:rsidRPr="001C09B8" w:rsidRDefault="00865B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865B46" w:rsidRPr="00690D5A" w:rsidTr="00D16138">
        <w:tc>
          <w:tcPr>
            <w:tcW w:w="301" w:type="pct"/>
            <w:vAlign w:val="center"/>
          </w:tcPr>
          <w:p w:rsidR="00865B46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Podwójny stymulator elektryczny jednomodułowy, zamontowany na ramieniu giętkim, wyposażony w: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4 Gniazdo DIN i 8 gniazd TP dla wyjść impulsów stymulujących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Wskaźnik zasilania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Wskaźnik wyemitowania bodźca dla każdego stymulatora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Wskaźniki aktywnej elektrody dla każdego gniazda TP</w:t>
            </w:r>
          </w:p>
        </w:tc>
        <w:tc>
          <w:tcPr>
            <w:tcW w:w="809" w:type="pct"/>
          </w:tcPr>
          <w:p w:rsidR="00865B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865B46" w:rsidRPr="001C09B8" w:rsidRDefault="00865B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865B46" w:rsidRPr="00690D5A" w:rsidTr="00D16138">
        <w:tc>
          <w:tcPr>
            <w:tcW w:w="301" w:type="pct"/>
            <w:vAlign w:val="center"/>
          </w:tcPr>
          <w:p w:rsidR="00865B46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Zaawansowana rękojeść stymulująca z regulacją bodźca wyposażona w: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3 wymienne końcówki do stymulacji,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Przycisk zmiany polaryzacji wraz z dwoma wskaźnikami polaryzacji,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Pokrętło regulacji intensywności stymulacji,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Przycisk wyzwolenia bodźca pojedynczego lub włączenia/zatrzymania stymulacji ciągłej,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Przycisk uruchomienia/zatrzymania uśrednienia,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Przycisk specjalny, którego funkcja jest zależna od wykonywanego badania</w:t>
            </w:r>
          </w:p>
        </w:tc>
        <w:tc>
          <w:tcPr>
            <w:tcW w:w="809" w:type="pct"/>
          </w:tcPr>
          <w:p w:rsidR="00865B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865B46" w:rsidRPr="001C09B8" w:rsidRDefault="00865B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865B46" w:rsidRPr="00690D5A" w:rsidTr="00D16138">
        <w:tc>
          <w:tcPr>
            <w:tcW w:w="301" w:type="pct"/>
            <w:vAlign w:val="center"/>
          </w:tcPr>
          <w:p w:rsidR="00865B46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Zestaw nagłowny kalibrowanych słuchawek audiologicznych akustycznych sygnałów stymulujących</w:t>
            </w:r>
          </w:p>
        </w:tc>
        <w:tc>
          <w:tcPr>
            <w:tcW w:w="809" w:type="pct"/>
          </w:tcPr>
          <w:p w:rsidR="00865B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865B46" w:rsidRPr="001C09B8" w:rsidRDefault="00865B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865B46" w:rsidRPr="00690D5A" w:rsidTr="00D16138">
        <w:tc>
          <w:tcPr>
            <w:tcW w:w="301" w:type="pct"/>
            <w:vAlign w:val="center"/>
          </w:tcPr>
          <w:p w:rsidR="00865B46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Przełącznik do pomiaru czasu reakcji potencjałów wywołanych zdarzeniowych P 300</w:t>
            </w:r>
          </w:p>
        </w:tc>
        <w:tc>
          <w:tcPr>
            <w:tcW w:w="809" w:type="pct"/>
          </w:tcPr>
          <w:p w:rsidR="00865B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865B46" w:rsidRPr="001C09B8" w:rsidRDefault="00865B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865B46" w:rsidRPr="00690D5A" w:rsidTr="00D16138">
        <w:tc>
          <w:tcPr>
            <w:tcW w:w="301" w:type="pct"/>
            <w:vAlign w:val="center"/>
          </w:tcPr>
          <w:p w:rsidR="00865B46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Monitor LCD min. 21,5” wzorcowych wzrokowych sygnałów stymulujących o czasie opóźnienia ≤ 2 ms z zestawem połączeniowym 5 m</w:t>
            </w:r>
          </w:p>
        </w:tc>
        <w:tc>
          <w:tcPr>
            <w:tcW w:w="809" w:type="pct"/>
          </w:tcPr>
          <w:p w:rsidR="00865B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865B46" w:rsidRPr="001C09B8" w:rsidRDefault="00865B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865B46" w:rsidRPr="00690D5A" w:rsidTr="00D16138">
        <w:tc>
          <w:tcPr>
            <w:tcW w:w="301" w:type="pct"/>
            <w:vAlign w:val="center"/>
          </w:tcPr>
          <w:p w:rsidR="00865B46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Gogle stymulujących sygnałów wzrokowych wraz z kablem przedłużającym 5 m.</w:t>
            </w:r>
          </w:p>
        </w:tc>
        <w:tc>
          <w:tcPr>
            <w:tcW w:w="809" w:type="pct"/>
          </w:tcPr>
          <w:p w:rsidR="00865B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865B46" w:rsidRPr="001C09B8" w:rsidRDefault="00865B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865B46" w:rsidRPr="00690D5A" w:rsidTr="00D16138">
        <w:tc>
          <w:tcPr>
            <w:tcW w:w="301" w:type="pct"/>
            <w:vAlign w:val="center"/>
          </w:tcPr>
          <w:p w:rsidR="00865B46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>Przełącznik nożny, 3 klawisze A, B, C, realizujące następujące funkcje: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przełącznik A zależny od programu,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przełącznik B: włączenie/wyłączenie stymulacji,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przełącznik C: wznowienie/wstrzymanie – zależnie od programu</w:t>
            </w:r>
          </w:p>
        </w:tc>
        <w:tc>
          <w:tcPr>
            <w:tcW w:w="809" w:type="pct"/>
          </w:tcPr>
          <w:p w:rsidR="00865B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865B46" w:rsidRPr="001C09B8" w:rsidRDefault="00865B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865B46" w:rsidRPr="00690D5A" w:rsidTr="00D16138">
        <w:tc>
          <w:tcPr>
            <w:tcW w:w="301" w:type="pct"/>
            <w:vAlign w:val="center"/>
          </w:tcPr>
          <w:p w:rsidR="00865B46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434" w:type="pct"/>
          </w:tcPr>
          <w:p w:rsidR="00865B46" w:rsidRPr="00865B46" w:rsidRDefault="00865B4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System komputerowy aparatu EMG: 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Procesor min. Intel </w:t>
            </w:r>
            <w:proofErr w:type="spellStart"/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Core</w:t>
            </w:r>
            <w:proofErr w:type="spellEnd"/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 xml:space="preserve"> i5,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Pamięć RAM: min. 8 GB,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Dysk SSD: min. 240 GB,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Wbudowana karta sieciowa oraz izolator sieciowy do bezpiecznego podłączenie systemu do sieci LAN,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Oprogramowanie: Microsoft Windows 10 Pro, Microsoft Office 2021,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Monitor LCD min. 21,5” zamontowany na integralnym, regulowanym statywie wózka,</w:t>
            </w:r>
          </w:p>
          <w:p w:rsidR="00865B46" w:rsidRPr="00865B46" w:rsidRDefault="006C2476" w:rsidP="00865B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865B46" w:rsidRPr="00865B46">
              <w:rPr>
                <w:rFonts w:asciiTheme="minorHAnsi" w:eastAsia="Times New Roman" w:hAnsiTheme="minorHAnsi" w:cstheme="minorHAnsi"/>
                <w:lang w:eastAsia="pl-PL"/>
              </w:rPr>
              <w:t>Drukarka laserowa monochromatyczna (czarno-biała) z funkcją automatycznego wydruku dwustronnego (duplex).</w:t>
            </w:r>
          </w:p>
        </w:tc>
        <w:tc>
          <w:tcPr>
            <w:tcW w:w="809" w:type="pct"/>
          </w:tcPr>
          <w:p w:rsidR="00865B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865B46" w:rsidRPr="001C09B8" w:rsidRDefault="00865B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FF1546" w:rsidP="00E06BF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pct"/>
          </w:tcPr>
          <w:p w:rsidR="00FF1546" w:rsidRPr="001C09B8" w:rsidRDefault="00865B46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865B46">
              <w:rPr>
                <w:rFonts w:asciiTheme="minorHAnsi" w:eastAsia="Times New Roman" w:hAnsiTheme="minorHAnsi" w:cstheme="minorHAnsi"/>
                <w:b/>
                <w:lang w:eastAsia="pl-PL"/>
              </w:rPr>
              <w:t>Oprogramowanie diagnostyczne</w:t>
            </w:r>
          </w:p>
        </w:tc>
        <w:tc>
          <w:tcPr>
            <w:tcW w:w="809" w:type="pct"/>
          </w:tcPr>
          <w:p w:rsidR="00FF1546" w:rsidRPr="001C09B8" w:rsidRDefault="00FF1546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434" w:type="pct"/>
          </w:tcPr>
          <w:p w:rsidR="001D7A35" w:rsidRPr="001D7A35" w:rsidRDefault="001D7A35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Neurografia</w:t>
            </w:r>
            <w:proofErr w:type="spellEnd"/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: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Przewodnictwo ruchowe,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Przewodnictwo czuciowe,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Fala F,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Przewodnictwo odcinkowe (</w:t>
            </w:r>
            <w:proofErr w:type="spellStart"/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inching</w:t>
            </w:r>
            <w:proofErr w:type="spellEnd"/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),</w:t>
            </w:r>
          </w:p>
          <w:p w:rsidR="00E06BFA" w:rsidRPr="001C09B8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Ruchowe potencjały wywołane (MEP) – wymaga zewnętrznego stymulatora magnetycznego,</w:t>
            </w:r>
          </w:p>
        </w:tc>
        <w:tc>
          <w:tcPr>
            <w:tcW w:w="809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D16138">
        <w:tc>
          <w:tcPr>
            <w:tcW w:w="301" w:type="pct"/>
            <w:vAlign w:val="center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2434" w:type="pct"/>
          </w:tcPr>
          <w:p w:rsidR="00E06BFA" w:rsidRPr="001C09B8" w:rsidRDefault="001D7A35" w:rsidP="00161A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Odruch H.</w:t>
            </w:r>
          </w:p>
        </w:tc>
        <w:tc>
          <w:tcPr>
            <w:tcW w:w="809" w:type="pct"/>
          </w:tcPr>
          <w:p w:rsidR="00E06BFA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2434" w:type="pct"/>
          </w:tcPr>
          <w:p w:rsidR="00FF1546" w:rsidRPr="001C09B8" w:rsidRDefault="001D7A3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Odruch mrugania.</w:t>
            </w:r>
          </w:p>
        </w:tc>
        <w:tc>
          <w:tcPr>
            <w:tcW w:w="809" w:type="pct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434" w:type="pct"/>
          </w:tcPr>
          <w:p w:rsidR="00FF1546" w:rsidRPr="001C09B8" w:rsidRDefault="001D7A3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Próba męczliwości (RNS).</w:t>
            </w:r>
          </w:p>
        </w:tc>
        <w:tc>
          <w:tcPr>
            <w:tcW w:w="809" w:type="pct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434" w:type="pct"/>
          </w:tcPr>
          <w:p w:rsidR="00FF1546" w:rsidRPr="001C09B8" w:rsidRDefault="001D7A3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Współczulne odruchy skórne (SSR).</w:t>
            </w:r>
          </w:p>
        </w:tc>
        <w:tc>
          <w:tcPr>
            <w:tcW w:w="809" w:type="pct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2434" w:type="pct"/>
          </w:tcPr>
          <w:p w:rsidR="001D7A35" w:rsidRPr="001D7A35" w:rsidRDefault="001D7A35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EMG Ilościowe (QEMG):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EMG spontaniczne (ocena czynności spoczynkowej),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Analiza wielu jednostek ruchowych,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Analiza zapisu interferencyjnego (ocena czynności wysiłkowej),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Analiza w trybie off-</w:t>
            </w:r>
            <w:proofErr w:type="spellStart"/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line</w:t>
            </w:r>
            <w:proofErr w:type="spellEnd"/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 xml:space="preserve"> zapisanych sygnałów EMG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     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maksymalny czas pojedynczego zapisu: 15 minut,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     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liczba zapisów: nieograniczona,</w:t>
            </w:r>
          </w:p>
          <w:p w:rsidR="00FF1546" w:rsidRPr="001C09B8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Automatyczna ocena mięśni zgodnie z regułami definiowanymi przez użytkownika</w:t>
            </w:r>
          </w:p>
        </w:tc>
        <w:tc>
          <w:tcPr>
            <w:tcW w:w="809" w:type="pct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2434" w:type="pct"/>
          </w:tcPr>
          <w:p w:rsidR="00FF1546" w:rsidRPr="001C09B8" w:rsidRDefault="001D7A3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Analiza odpowiedzi M (MUNIX)</w:t>
            </w:r>
          </w:p>
        </w:tc>
        <w:tc>
          <w:tcPr>
            <w:tcW w:w="809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2434" w:type="pct"/>
          </w:tcPr>
          <w:p w:rsidR="00FF1546" w:rsidRPr="001C09B8" w:rsidRDefault="001D7A3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Analiza zmienności rytmu zatokowego (Analiza R-R)</w:t>
            </w:r>
          </w:p>
        </w:tc>
        <w:tc>
          <w:tcPr>
            <w:tcW w:w="809" w:type="pct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2434" w:type="pct"/>
          </w:tcPr>
          <w:p w:rsidR="001D7A35" w:rsidRPr="001D7A35" w:rsidRDefault="001D7A35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EMG pojedynczego włókna (SF EMG):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SF-EMG wyzwalane szczytem,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stymulowane SF-EMG,</w:t>
            </w:r>
          </w:p>
          <w:p w:rsidR="00FF1546" w:rsidRPr="001C09B8" w:rsidRDefault="006C2476" w:rsidP="001D7A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1D7A35" w:rsidRPr="001D7A35">
              <w:rPr>
                <w:rFonts w:asciiTheme="minorHAnsi" w:eastAsia="Times New Roman" w:hAnsiTheme="minorHAnsi" w:cstheme="minorHAnsi"/>
                <w:lang w:eastAsia="pl-PL"/>
              </w:rPr>
              <w:t>ocena gęstości włókna.</w:t>
            </w:r>
          </w:p>
        </w:tc>
        <w:tc>
          <w:tcPr>
            <w:tcW w:w="809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2434" w:type="pct"/>
          </w:tcPr>
          <w:p w:rsidR="00FF1546" w:rsidRPr="001C09B8" w:rsidRDefault="001D7A3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Wielokanałowe EMG (EMG Monitor) wraz z analizą spektralną dostosowaną do analizy drżenia.</w:t>
            </w:r>
          </w:p>
        </w:tc>
        <w:tc>
          <w:tcPr>
            <w:tcW w:w="809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2434" w:type="pct"/>
          </w:tcPr>
          <w:p w:rsidR="00FF1546" w:rsidRPr="001C09B8" w:rsidRDefault="001D7A3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1D7A35">
              <w:rPr>
                <w:rFonts w:asciiTheme="minorHAnsi" w:hAnsiTheme="minorHAnsi" w:cstheme="minorHAnsi"/>
                <w:color w:val="000000"/>
              </w:rPr>
              <w:t>Somatosensoryczne</w:t>
            </w:r>
            <w:proofErr w:type="spellEnd"/>
            <w:r w:rsidRPr="001D7A35">
              <w:rPr>
                <w:rFonts w:asciiTheme="minorHAnsi" w:hAnsiTheme="minorHAnsi" w:cstheme="minorHAnsi"/>
                <w:color w:val="000000"/>
              </w:rPr>
              <w:t xml:space="preserve"> potencjały wywołane (SEP).</w:t>
            </w:r>
          </w:p>
        </w:tc>
        <w:tc>
          <w:tcPr>
            <w:tcW w:w="809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2434" w:type="pct"/>
          </w:tcPr>
          <w:p w:rsidR="001D7A35" w:rsidRPr="001D7A35" w:rsidRDefault="001D7A35" w:rsidP="001D7A35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D7A35">
              <w:rPr>
                <w:rFonts w:asciiTheme="minorHAnsi" w:hAnsiTheme="minorHAnsi" w:cstheme="minorHAnsi"/>
                <w:color w:val="000000"/>
              </w:rPr>
              <w:t>Słuchowe potencjały wywołane: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1D7A35" w:rsidRPr="001D7A35">
              <w:rPr>
                <w:rFonts w:asciiTheme="minorHAnsi" w:hAnsiTheme="minorHAnsi" w:cstheme="minorHAnsi"/>
                <w:color w:val="000000"/>
              </w:rPr>
              <w:t>Pniowe (BAEP),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1D7A35" w:rsidRPr="001D7A35">
              <w:rPr>
                <w:rFonts w:asciiTheme="minorHAnsi" w:hAnsiTheme="minorHAnsi" w:cstheme="minorHAnsi"/>
                <w:color w:val="000000"/>
              </w:rPr>
              <w:t>Kompletne (AEP),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1D7A35" w:rsidRPr="001D7A35">
              <w:rPr>
                <w:rFonts w:asciiTheme="minorHAnsi" w:hAnsiTheme="minorHAnsi" w:cstheme="minorHAnsi"/>
                <w:color w:val="000000"/>
              </w:rPr>
              <w:t>Zdarzeniowe (P300),</w:t>
            </w:r>
          </w:p>
          <w:p w:rsidR="001D7A35" w:rsidRPr="001D7A35" w:rsidRDefault="006C2476" w:rsidP="001D7A35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1D7A35" w:rsidRPr="001D7A35">
              <w:rPr>
                <w:rFonts w:asciiTheme="minorHAnsi" w:hAnsiTheme="minorHAnsi" w:cstheme="minorHAnsi"/>
                <w:color w:val="000000"/>
              </w:rPr>
              <w:t>Fala oczekiwania (CNV),</w:t>
            </w:r>
          </w:p>
          <w:p w:rsidR="00FF1546" w:rsidRPr="00226ED9" w:rsidRDefault="006C2476" w:rsidP="001D7A3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1D7A35" w:rsidRPr="001D7A35">
              <w:rPr>
                <w:rFonts w:asciiTheme="minorHAnsi" w:hAnsiTheme="minorHAnsi" w:cstheme="minorHAnsi"/>
                <w:color w:val="000000"/>
              </w:rPr>
              <w:t>Ocena obiektywnego poziomu słyszenia (OHL).</w:t>
            </w:r>
          </w:p>
        </w:tc>
        <w:tc>
          <w:tcPr>
            <w:tcW w:w="809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2434" w:type="pct"/>
          </w:tcPr>
          <w:p w:rsidR="00FF1546" w:rsidRPr="001C09B8" w:rsidRDefault="001D7A3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D7A35">
              <w:rPr>
                <w:rFonts w:asciiTheme="minorHAnsi" w:hAnsiTheme="minorHAnsi" w:cstheme="minorHAnsi"/>
                <w:color w:val="000000"/>
              </w:rPr>
              <w:t>Wzrokowe potencjały wywołane (VEP).</w:t>
            </w:r>
          </w:p>
        </w:tc>
        <w:tc>
          <w:tcPr>
            <w:tcW w:w="809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434" w:type="pct"/>
          </w:tcPr>
          <w:p w:rsidR="00FF1546" w:rsidRPr="001C09B8" w:rsidRDefault="001D7A35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D7A35">
              <w:rPr>
                <w:rFonts w:asciiTheme="minorHAnsi" w:hAnsiTheme="minorHAnsi" w:cstheme="minorHAnsi"/>
                <w:color w:val="000000"/>
              </w:rPr>
              <w:t>Potencjały wywołane ruchem (MRP).</w:t>
            </w:r>
          </w:p>
        </w:tc>
        <w:tc>
          <w:tcPr>
            <w:tcW w:w="809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Default="001D7A35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34" w:type="pct"/>
          </w:tcPr>
          <w:p w:rsidR="001D7A35" w:rsidRPr="001D7A35" w:rsidRDefault="001D7A35" w:rsidP="00FF1546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D7A35">
              <w:rPr>
                <w:rFonts w:asciiTheme="minorHAnsi" w:hAnsiTheme="minorHAnsi" w:cstheme="minorHAnsi"/>
                <w:b/>
                <w:color w:val="000000"/>
              </w:rPr>
              <w:t>Specjalne funkcje oprogramowania diagnostycznego:</w:t>
            </w:r>
          </w:p>
        </w:tc>
        <w:tc>
          <w:tcPr>
            <w:tcW w:w="809" w:type="pct"/>
          </w:tcPr>
          <w:p w:rsidR="001D7A35" w:rsidRPr="001C09B8" w:rsidRDefault="001D7A35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pct"/>
          </w:tcPr>
          <w:p w:rsidR="001D7A35" w:rsidRPr="001C09B8" w:rsidRDefault="001D7A3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2434" w:type="pct"/>
          </w:tcPr>
          <w:p w:rsidR="00FF1546" w:rsidRPr="001C09B8" w:rsidRDefault="001D7A35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D7A35">
              <w:rPr>
                <w:rFonts w:asciiTheme="minorHAnsi" w:hAnsiTheme="minorHAnsi" w:cstheme="minorHAnsi"/>
                <w:color w:val="000000"/>
              </w:rPr>
              <w:t>Możliwość uruchomienia w dowolnym momencie dodatkowych opcji oprogramowania diagnostycznego poprzez wpisanie nowego numeru licencji. Bez konieczności restartu komputera lub instalacji jakiegokolwiek dodatkowego oprogramowania.</w:t>
            </w:r>
          </w:p>
        </w:tc>
        <w:tc>
          <w:tcPr>
            <w:tcW w:w="809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434" w:type="pct"/>
          </w:tcPr>
          <w:p w:rsidR="00FF1546" w:rsidRPr="001C09B8" w:rsidRDefault="001D7A35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D7A35">
              <w:rPr>
                <w:rFonts w:asciiTheme="minorHAnsi" w:hAnsiTheme="minorHAnsi" w:cstheme="minorHAnsi"/>
                <w:color w:val="000000"/>
              </w:rPr>
              <w:t>Możliwość zmiany języka oprogramowania diagnostycznego poprzez wybór języka z listy. Bez konieczności restartu komputera lub instalacji jakiegokolwiek dodatkowego oprogramowania.</w:t>
            </w:r>
          </w:p>
        </w:tc>
        <w:tc>
          <w:tcPr>
            <w:tcW w:w="809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D16138">
        <w:tc>
          <w:tcPr>
            <w:tcW w:w="301" w:type="pct"/>
            <w:vAlign w:val="center"/>
          </w:tcPr>
          <w:p w:rsidR="00FF1546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2434" w:type="pct"/>
          </w:tcPr>
          <w:p w:rsidR="00FF1546" w:rsidRPr="001C09B8" w:rsidRDefault="001D7A35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D7A35">
              <w:rPr>
                <w:rFonts w:asciiTheme="minorHAnsi" w:hAnsiTheme="minorHAnsi" w:cstheme="minorHAnsi"/>
                <w:color w:val="000000"/>
              </w:rPr>
              <w:t>Automatyczna archiwizacja badań z możliwością określenia po ilu dniach od wykonania i czy jedynie badania oznaczone jako zakończone będą automatycznie archiwizowane we wskazanym katalogu.</w:t>
            </w:r>
          </w:p>
        </w:tc>
        <w:tc>
          <w:tcPr>
            <w:tcW w:w="809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D16138">
        <w:tc>
          <w:tcPr>
            <w:tcW w:w="301" w:type="pct"/>
            <w:vAlign w:val="center"/>
          </w:tcPr>
          <w:p w:rsidR="00F67A73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434" w:type="pct"/>
          </w:tcPr>
          <w:p w:rsidR="00F67A73" w:rsidRPr="001C09B8" w:rsidRDefault="001D7A35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D7A35">
              <w:rPr>
                <w:rFonts w:asciiTheme="minorHAnsi" w:hAnsiTheme="minorHAnsi" w:cstheme="minorHAnsi"/>
                <w:color w:val="000000"/>
              </w:rPr>
              <w:t>Możliwość wykonania kopii zapasowej bazy danych poprzez pojedyncze naciśnięcie przycisku oraz możliwość przywrócenia utworzonej wcześniej kopii zapasowej poprzez wybór kopii z listy. Bez konieczności restartu komputera lub instalacji jakiegokolwiek dodatkowego oprogramowania.</w:t>
            </w:r>
          </w:p>
        </w:tc>
        <w:tc>
          <w:tcPr>
            <w:tcW w:w="809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D16138">
        <w:tc>
          <w:tcPr>
            <w:tcW w:w="301" w:type="pct"/>
            <w:vAlign w:val="center"/>
          </w:tcPr>
          <w:p w:rsidR="00F67A73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2434" w:type="pct"/>
          </w:tcPr>
          <w:p w:rsidR="00F67A73" w:rsidRPr="001C09B8" w:rsidRDefault="001D7A35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D7A35">
              <w:rPr>
                <w:rFonts w:asciiTheme="minorHAnsi" w:hAnsiTheme="minorHAnsi" w:cstheme="minorHAnsi"/>
                <w:color w:val="000000"/>
              </w:rPr>
              <w:t>Możliwość zabezpieczenia wykonanego badania przed przypadkową kontynuacją podczas przeglądu poprzez automatyczne oznaczenie badania jako ukończone po upływie jednej doby od jego wykonania i opcjonalnie pod warunkiem wygenerowania raportu z tego badania.</w:t>
            </w:r>
          </w:p>
        </w:tc>
        <w:tc>
          <w:tcPr>
            <w:tcW w:w="809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434" w:type="pct"/>
          </w:tcPr>
          <w:p w:rsidR="001D7A35" w:rsidRPr="001D7A35" w:rsidRDefault="001D7A3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Możliwość przeniesienia, przeglądania, analizy, opisu i wydruku badań wykonanych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 dotychczas użytkowanym apara</w:t>
            </w:r>
            <w:r w:rsidR="00DF69AA">
              <w:rPr>
                <w:rFonts w:asciiTheme="minorHAnsi" w:eastAsia="Times New Roman" w:hAnsiTheme="minorHAnsi" w:cstheme="minorHAnsi"/>
                <w:lang w:eastAsia="pl-PL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>u</w:t>
            </w:r>
          </w:p>
        </w:tc>
        <w:tc>
          <w:tcPr>
            <w:tcW w:w="809" w:type="pct"/>
          </w:tcPr>
          <w:p w:rsidR="001D7A35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2434" w:type="pct"/>
          </w:tcPr>
          <w:p w:rsidR="001D7A35" w:rsidRPr="001D7A35" w:rsidRDefault="001D7A3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D7A35">
              <w:rPr>
                <w:rFonts w:asciiTheme="minorHAnsi" w:eastAsia="Times New Roman" w:hAnsiTheme="minorHAnsi" w:cstheme="minorHAnsi"/>
                <w:lang w:eastAsia="pl-PL"/>
              </w:rPr>
              <w:t>Oprogramowanie diagnostyczne w języku polskim.</w:t>
            </w:r>
          </w:p>
        </w:tc>
        <w:tc>
          <w:tcPr>
            <w:tcW w:w="809" w:type="pct"/>
          </w:tcPr>
          <w:p w:rsidR="001D7A35" w:rsidRPr="001C09B8" w:rsidRDefault="00DF69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D16138">
        <w:tc>
          <w:tcPr>
            <w:tcW w:w="301" w:type="pct"/>
            <w:vAlign w:val="center"/>
          </w:tcPr>
          <w:p w:rsidR="00AB61C5" w:rsidRPr="001C09B8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34" w:type="pct"/>
          </w:tcPr>
          <w:p w:rsidR="00AB61C5" w:rsidRPr="001C09B8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1C09B8">
              <w:rPr>
                <w:rFonts w:asciiTheme="minorHAnsi" w:hAnsiTheme="minorHAnsi" w:cstheme="minorHAnsi"/>
                <w:b/>
              </w:rPr>
              <w:t>AKCESORIA</w:t>
            </w:r>
          </w:p>
        </w:tc>
        <w:tc>
          <w:tcPr>
            <w:tcW w:w="809" w:type="pct"/>
          </w:tcPr>
          <w:p w:rsidR="00AB61C5" w:rsidRPr="001C09B8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pct"/>
          </w:tcPr>
          <w:p w:rsidR="00AB61C5" w:rsidRPr="001C09B8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2434" w:type="pct"/>
          </w:tcPr>
          <w:p w:rsidR="001D7A35" w:rsidRPr="001D7A35" w:rsidRDefault="001D7A35" w:rsidP="001D7A3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7A35">
              <w:rPr>
                <w:rFonts w:asciiTheme="minorHAnsi" w:hAnsiTheme="minorHAnsi" w:cstheme="minorHAnsi"/>
              </w:rPr>
              <w:t>Elektroda koncentryczna igłowa jednorazowa stalowa, powlekana silikonem, z wolframowym rdzeniem, o wymiarach: ø 0,30 x 25 mm o powierzchni czynnej 0,02 mm2, 25 szt., 1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2434" w:type="pct"/>
          </w:tcPr>
          <w:p w:rsidR="001D7A35" w:rsidRPr="001D7A35" w:rsidRDefault="001D7A3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7A35">
              <w:rPr>
                <w:rFonts w:asciiTheme="minorHAnsi" w:hAnsiTheme="minorHAnsi" w:cstheme="minorHAnsi"/>
              </w:rPr>
              <w:t>Elektroda koncentryczna igłowa jednorazowa stalowa, powlekana silikonem, z wolframowym rdzeniem, o wymiarach: ø 0,46 x 37 mm o powierzchni czynnej 0,07 mm2, 25 szt., 1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2434" w:type="pct"/>
          </w:tcPr>
          <w:p w:rsidR="001D7A35" w:rsidRPr="001D7A35" w:rsidRDefault="001D7A3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7A35">
              <w:rPr>
                <w:rFonts w:asciiTheme="minorHAnsi" w:hAnsiTheme="minorHAnsi" w:cstheme="minorHAnsi"/>
              </w:rPr>
              <w:t>Jednorazowa żelowana elektroda powierzchniowa, powierzchnia czynna 9 x 6 mm, z kablem 8 cm, wtyk TP 0,7 mm, 12 szt., 5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2434" w:type="pct"/>
          </w:tcPr>
          <w:p w:rsidR="001D7A35" w:rsidRPr="001D7A35" w:rsidRDefault="001D7A3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Wielorazowa e</w:t>
            </w:r>
            <w:r w:rsidRPr="001D7A35">
              <w:rPr>
                <w:rFonts w:asciiTheme="minorHAnsi" w:hAnsiTheme="minorHAnsi" w:cstheme="minorHAnsi"/>
              </w:rPr>
              <w:t>lektroda powierzchniowa stymulacyjna bipolarna z odłączanym uchwytem, z wkładkami filcowymi ø 7 mm oddalonymi od siebie o 23 mm, z przewodem ekranowanym 2 m, 1 szt., 2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2434" w:type="pct"/>
          </w:tcPr>
          <w:p w:rsidR="001D7A35" w:rsidRPr="001D7A35" w:rsidRDefault="001D7A3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Wielorazowa</w:t>
            </w:r>
            <w:r w:rsidRPr="001D7A3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e</w:t>
            </w:r>
            <w:r w:rsidRPr="001D7A35">
              <w:rPr>
                <w:rFonts w:asciiTheme="minorHAnsi" w:hAnsiTheme="minorHAnsi" w:cstheme="minorHAnsi"/>
              </w:rPr>
              <w:t>lektroda uziemiająca, opaskowa, długość 18,5 cm, szerokość 2 cm, z odłączanym przewodem ze złączem na zatrzask, długość 1,5 m, wtyk TP 1,5 mm, 1 szt., 1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2434" w:type="pct"/>
          </w:tcPr>
          <w:p w:rsidR="001D7A35" w:rsidRPr="001D7A35" w:rsidRDefault="001D7A3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Wielorazowa e</w:t>
            </w:r>
            <w:r w:rsidRPr="001D7A35">
              <w:rPr>
                <w:rFonts w:asciiTheme="minorHAnsi" w:hAnsiTheme="minorHAnsi" w:cstheme="minorHAnsi"/>
              </w:rPr>
              <w:t>lektroda</w:t>
            </w:r>
            <w:r>
              <w:t xml:space="preserve"> </w:t>
            </w:r>
            <w:r w:rsidRPr="001D7A35">
              <w:rPr>
                <w:rFonts w:asciiTheme="minorHAnsi" w:hAnsiTheme="minorHAnsi" w:cstheme="minorHAnsi"/>
              </w:rPr>
              <w:t>uziemiająca, opaskowa, długość 45 cm, szerokość 2 cm, z odłączanym przewodem ze złączem na zatrzask, długość 1,5 m, wtyk TP 1,5 mm, 1 szt., 1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2434" w:type="pct"/>
          </w:tcPr>
          <w:p w:rsidR="001D7A35" w:rsidRPr="001D7A35" w:rsidRDefault="001D7A3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Wielorazowa e</w:t>
            </w:r>
            <w:r w:rsidRPr="001D7A35">
              <w:rPr>
                <w:rFonts w:asciiTheme="minorHAnsi" w:hAnsiTheme="minorHAnsi" w:cstheme="minorHAnsi"/>
              </w:rPr>
              <w:t>lektroda</w:t>
            </w:r>
            <w:r>
              <w:t xml:space="preserve"> </w:t>
            </w:r>
            <w:r w:rsidRPr="001D7A35">
              <w:rPr>
                <w:rFonts w:asciiTheme="minorHAnsi" w:hAnsiTheme="minorHAnsi" w:cstheme="minorHAnsi"/>
              </w:rPr>
              <w:t>uziemiająca powierzchniowa metalowa, średnica 32 mm, kabel 1,2 m, 1 szt., 1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2434" w:type="pct"/>
          </w:tcPr>
          <w:p w:rsidR="001D7A35" w:rsidRPr="001D7A35" w:rsidRDefault="001D7A3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Wielorazowa e</w:t>
            </w:r>
            <w:r w:rsidRPr="001D7A35">
              <w:rPr>
                <w:rFonts w:asciiTheme="minorHAnsi" w:hAnsiTheme="minorHAnsi" w:cstheme="minorHAnsi"/>
              </w:rPr>
              <w:t>lektroda</w:t>
            </w:r>
            <w:r>
              <w:t xml:space="preserve"> </w:t>
            </w:r>
            <w:r w:rsidRPr="001D7A35">
              <w:rPr>
                <w:rFonts w:asciiTheme="minorHAnsi" w:hAnsiTheme="minorHAnsi" w:cstheme="minorHAnsi"/>
              </w:rPr>
              <w:t>powierzchniowa obrączkowa z kablem ekranowanym 1 m, wtyk DIN, 1 szt., 1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434" w:type="pct"/>
          </w:tcPr>
          <w:p w:rsidR="001D7A35" w:rsidRPr="001D7A35" w:rsidRDefault="001D7A3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Wielorazowa e</w:t>
            </w:r>
            <w:r w:rsidRPr="001D7A35">
              <w:rPr>
                <w:rFonts w:asciiTheme="minorHAnsi" w:hAnsiTheme="minorHAnsi" w:cstheme="minorHAnsi"/>
              </w:rPr>
              <w:t>lektroda</w:t>
            </w:r>
            <w:r>
              <w:t xml:space="preserve"> </w:t>
            </w:r>
            <w:r w:rsidRPr="001D7A35">
              <w:rPr>
                <w:rFonts w:asciiTheme="minorHAnsi" w:hAnsiTheme="minorHAnsi" w:cstheme="minorHAnsi"/>
              </w:rPr>
              <w:t xml:space="preserve">powierzchniowe miseczkowe złocone Grass, średnica miseczki 10 mm, otwór 2 mm, kabel w izolacji teflonowej wzmacniany nićmi </w:t>
            </w:r>
            <w:proofErr w:type="spellStart"/>
            <w:r w:rsidRPr="001D7A35">
              <w:rPr>
                <w:rFonts w:asciiTheme="minorHAnsi" w:hAnsiTheme="minorHAnsi" w:cstheme="minorHAnsi"/>
              </w:rPr>
              <w:t>kevlarowymi</w:t>
            </w:r>
            <w:proofErr w:type="spellEnd"/>
            <w:r w:rsidRPr="001D7A35">
              <w:rPr>
                <w:rFonts w:asciiTheme="minorHAnsi" w:hAnsiTheme="minorHAnsi" w:cstheme="minorHAnsi"/>
              </w:rPr>
              <w:t xml:space="preserve"> długości 122 cm, 10 szt., 1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2434" w:type="pct"/>
          </w:tcPr>
          <w:p w:rsidR="001D7A35" w:rsidRPr="001D7A35" w:rsidRDefault="001D7A3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7A35">
              <w:rPr>
                <w:rFonts w:asciiTheme="minorHAnsi" w:hAnsiTheme="minorHAnsi" w:cstheme="minorHAnsi"/>
              </w:rPr>
              <w:t>Przewody do elektrod jednorazowych</w:t>
            </w:r>
            <w:r>
              <w:t xml:space="preserve"> </w:t>
            </w:r>
            <w:r w:rsidRPr="001D7A35">
              <w:rPr>
                <w:rFonts w:asciiTheme="minorHAnsi" w:hAnsiTheme="minorHAnsi" w:cstheme="minorHAnsi"/>
              </w:rPr>
              <w:t xml:space="preserve">ekranowany do elektrod igłowych jednorazowych, wtyk DIN / </w:t>
            </w:r>
            <w:proofErr w:type="spellStart"/>
            <w:r w:rsidRPr="001D7A35">
              <w:rPr>
                <w:rFonts w:asciiTheme="minorHAnsi" w:hAnsiTheme="minorHAnsi" w:cstheme="minorHAnsi"/>
              </w:rPr>
              <w:t>Pogo</w:t>
            </w:r>
            <w:proofErr w:type="spellEnd"/>
            <w:r w:rsidRPr="001D7A35">
              <w:rPr>
                <w:rFonts w:asciiTheme="minorHAnsi" w:hAnsiTheme="minorHAnsi" w:cstheme="minorHAnsi"/>
              </w:rPr>
              <w:t xml:space="preserve"> Pin, 150 cm, 1 szt., 1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2434" w:type="pct"/>
          </w:tcPr>
          <w:p w:rsidR="001D7A35" w:rsidRPr="001D7A35" w:rsidRDefault="001D7A3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7A35">
              <w:rPr>
                <w:rFonts w:asciiTheme="minorHAnsi" w:hAnsiTheme="minorHAnsi" w:cstheme="minorHAnsi"/>
              </w:rPr>
              <w:t>Przewody do elektrod jednorazowych</w:t>
            </w:r>
            <w:r>
              <w:t xml:space="preserve"> </w:t>
            </w:r>
            <w:r w:rsidRPr="001D7A35">
              <w:rPr>
                <w:rFonts w:asciiTheme="minorHAnsi" w:hAnsiTheme="minorHAnsi" w:cstheme="minorHAnsi"/>
              </w:rPr>
              <w:t>ekranowany do elektrod powierzchniowych jednorazowych, wtyk DIN / 2 x TP 0,7 mm, 2 m, 1 szt., 4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2434" w:type="pct"/>
          </w:tcPr>
          <w:p w:rsidR="001D7A35" w:rsidRPr="001D7A35" w:rsidRDefault="001D7A35" w:rsidP="00DF69A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7A35">
              <w:rPr>
                <w:rFonts w:asciiTheme="minorHAnsi" w:hAnsiTheme="minorHAnsi" w:cstheme="minorHAnsi"/>
              </w:rPr>
              <w:t>Pasta elektrodowa klejąco-przewodząca 1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2434" w:type="pct"/>
          </w:tcPr>
          <w:p w:rsidR="001D7A35" w:rsidRPr="001D7A35" w:rsidRDefault="001D7A35" w:rsidP="001D7A3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7A35">
              <w:rPr>
                <w:rFonts w:asciiTheme="minorHAnsi" w:hAnsiTheme="minorHAnsi" w:cstheme="minorHAnsi"/>
              </w:rPr>
              <w:t>Żel przewodzący do elektrod 1 op.</w:t>
            </w:r>
          </w:p>
        </w:tc>
        <w:tc>
          <w:tcPr>
            <w:tcW w:w="809" w:type="pct"/>
          </w:tcPr>
          <w:p w:rsidR="001D7A35" w:rsidRPr="001C09B8" w:rsidRDefault="00DF69AA" w:rsidP="00DF69A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434" w:type="pct"/>
          </w:tcPr>
          <w:p w:rsidR="001D7A35" w:rsidRPr="001D7A35" w:rsidRDefault="00DF69AA" w:rsidP="00DF69A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F69AA">
              <w:rPr>
                <w:rFonts w:asciiTheme="minorHAnsi" w:hAnsiTheme="minorHAnsi" w:cstheme="minorHAnsi"/>
              </w:rPr>
              <w:t>Pasta ścierna do przygotowania skóry 1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2434" w:type="pct"/>
          </w:tcPr>
          <w:p w:rsidR="001D7A35" w:rsidRPr="001D7A35" w:rsidRDefault="00DF69AA" w:rsidP="00DF69A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F69AA">
              <w:rPr>
                <w:rFonts w:asciiTheme="minorHAnsi" w:hAnsiTheme="minorHAnsi" w:cstheme="minorHAnsi"/>
              </w:rPr>
              <w:t>Opaska mocująca do mocowania elektrod, 55 cm, 3 szt.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D7A35" w:rsidRPr="00690D5A" w:rsidTr="00D16138">
        <w:tc>
          <w:tcPr>
            <w:tcW w:w="301" w:type="pct"/>
            <w:vAlign w:val="center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61</w:t>
            </w:r>
          </w:p>
        </w:tc>
        <w:tc>
          <w:tcPr>
            <w:tcW w:w="2434" w:type="pct"/>
          </w:tcPr>
          <w:p w:rsidR="001D7A35" w:rsidRPr="001D7A35" w:rsidRDefault="00DF69AA" w:rsidP="00DF69A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F69AA">
              <w:rPr>
                <w:rFonts w:asciiTheme="minorHAnsi" w:hAnsiTheme="minorHAnsi" w:cstheme="minorHAnsi"/>
              </w:rPr>
              <w:t>Taśma samoprzylepna, szerokość ok. 2,5 cm, rolka ok. 9 m, 12 szt., 1 op.</w:t>
            </w:r>
          </w:p>
        </w:tc>
        <w:tc>
          <w:tcPr>
            <w:tcW w:w="809" w:type="pct"/>
          </w:tcPr>
          <w:p w:rsidR="001D7A3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1D7A35" w:rsidRPr="001C09B8" w:rsidRDefault="001D7A3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D16138">
        <w:tc>
          <w:tcPr>
            <w:tcW w:w="301" w:type="pct"/>
            <w:vAlign w:val="center"/>
          </w:tcPr>
          <w:p w:rsidR="00AB61C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62</w:t>
            </w:r>
          </w:p>
        </w:tc>
        <w:tc>
          <w:tcPr>
            <w:tcW w:w="2434" w:type="pct"/>
          </w:tcPr>
          <w:p w:rsidR="00AB61C5" w:rsidRPr="001C09B8" w:rsidRDefault="00DF69AA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F69AA">
              <w:rPr>
                <w:rFonts w:asciiTheme="minorHAnsi" w:hAnsiTheme="minorHAnsi" w:cstheme="minorHAnsi"/>
                <w:color w:val="000000"/>
              </w:rPr>
              <w:t xml:space="preserve">Taśma pomiarowa winylowa </w:t>
            </w:r>
            <w:proofErr w:type="spellStart"/>
            <w:r w:rsidRPr="00DF69AA">
              <w:rPr>
                <w:rFonts w:asciiTheme="minorHAnsi" w:hAnsiTheme="minorHAnsi" w:cstheme="minorHAnsi"/>
                <w:color w:val="000000"/>
              </w:rPr>
              <w:t>samozwijalna</w:t>
            </w:r>
            <w:proofErr w:type="spellEnd"/>
            <w:r w:rsidRPr="00DF69AA">
              <w:rPr>
                <w:rFonts w:asciiTheme="minorHAnsi" w:hAnsiTheme="minorHAnsi" w:cstheme="minorHAnsi"/>
                <w:color w:val="000000"/>
              </w:rPr>
              <w:t>, po jednej stronie centymetry</w:t>
            </w:r>
            <w:r>
              <w:rPr>
                <w:rFonts w:asciiTheme="minorHAnsi" w:hAnsiTheme="minorHAnsi" w:cstheme="minorHAnsi"/>
                <w:color w:val="000000"/>
              </w:rPr>
              <w:t>, po drugiej cale, 1 szt.</w:t>
            </w:r>
          </w:p>
        </w:tc>
        <w:tc>
          <w:tcPr>
            <w:tcW w:w="809" w:type="pct"/>
          </w:tcPr>
          <w:p w:rsidR="00AB61C5" w:rsidRPr="001C09B8" w:rsidRDefault="00DF69A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57" w:type="pct"/>
          </w:tcPr>
          <w:p w:rsidR="00AB61C5" w:rsidRPr="001C09B8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D16138">
        <w:tc>
          <w:tcPr>
            <w:tcW w:w="30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34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C09B8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809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7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D16138">
        <w:tc>
          <w:tcPr>
            <w:tcW w:w="30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34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1C09B8">
              <w:rPr>
                <w:rFonts w:asciiTheme="minorHAnsi" w:hAnsiTheme="minorHAnsi" w:cstheme="minorHAnsi"/>
              </w:rPr>
              <w:br/>
              <w:t>Wyklucza się możliwość oferowania ubezpieczenia lub kontraktu serwisowego.</w:t>
            </w:r>
          </w:p>
        </w:tc>
        <w:tc>
          <w:tcPr>
            <w:tcW w:w="809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57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 </w:t>
            </w:r>
          </w:p>
        </w:tc>
      </w:tr>
      <w:tr w:rsidR="00690D5A" w:rsidRPr="00690D5A" w:rsidTr="00D16138">
        <w:tc>
          <w:tcPr>
            <w:tcW w:w="30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34" w:type="pct"/>
          </w:tcPr>
          <w:p w:rsidR="00690D5A" w:rsidRPr="001C09B8" w:rsidRDefault="002232D7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C</w:t>
            </w:r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 xml:space="preserve">zas reakcji serwisu na zgłoszony problem, Wykonawca zobowiązuje się do podjęcia działań w terminie do 48 godzin  (w dni robocze, rozumiane jako dni od </w:t>
            </w:r>
            <w:proofErr w:type="spellStart"/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pn-pt</w:t>
            </w:r>
            <w:proofErr w:type="spellEnd"/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 xml:space="preserve"> z wyłączeniem dni ustawowo wolnych od pracy)</w:t>
            </w:r>
            <w:r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57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D16138">
        <w:tc>
          <w:tcPr>
            <w:tcW w:w="30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434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Zapewnienie dostępności części zamiennych przez min. 10 lat od daty dostawy i instalacji systemu w si</w:t>
            </w:r>
            <w:bookmarkStart w:id="1" w:name="_GoBack"/>
            <w:bookmarkEnd w:id="1"/>
            <w:r w:rsidRPr="001C09B8">
              <w:rPr>
                <w:rFonts w:asciiTheme="minorHAnsi" w:hAnsiTheme="minorHAnsi" w:cstheme="minorHAnsi"/>
              </w:rPr>
              <w:t>edzibie użytkownika.</w:t>
            </w:r>
          </w:p>
        </w:tc>
        <w:tc>
          <w:tcPr>
            <w:tcW w:w="809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57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 </w:t>
            </w:r>
          </w:p>
        </w:tc>
      </w:tr>
      <w:tr w:rsidR="00690D5A" w:rsidRPr="00690D5A" w:rsidTr="00D16138">
        <w:tc>
          <w:tcPr>
            <w:tcW w:w="30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34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Instrukcja w języku polskim, w formie wydrukowanej i wersji elektronicznej na płycie CD lub PenDrive.</w:t>
            </w:r>
          </w:p>
          <w:p w:rsidR="00690D5A" w:rsidRPr="001C09B8" w:rsidRDefault="00690D5A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1C09B8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809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57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 </w:t>
            </w:r>
          </w:p>
        </w:tc>
      </w:tr>
      <w:tr w:rsidR="00690D5A" w:rsidRPr="00690D5A" w:rsidTr="00D16138">
        <w:tc>
          <w:tcPr>
            <w:tcW w:w="30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434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  <w:lang w:eastAsia="pl-PL"/>
              </w:rPr>
              <w:t>Bezpłatne przeglądy w okresie gwarancji.</w:t>
            </w:r>
          </w:p>
        </w:tc>
        <w:tc>
          <w:tcPr>
            <w:tcW w:w="809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57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 </w:t>
            </w:r>
          </w:p>
        </w:tc>
      </w:tr>
      <w:tr w:rsidR="00690D5A" w:rsidRPr="00690D5A" w:rsidTr="00D16138">
        <w:tc>
          <w:tcPr>
            <w:tcW w:w="30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434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Bezpłatne szkolenie personelu medycznego w zakresie obsługi aparatu przeprowadzone w siedzibie Zamawiającego.</w:t>
            </w:r>
          </w:p>
        </w:tc>
        <w:tc>
          <w:tcPr>
            <w:tcW w:w="809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Tak, podać </w:t>
            </w:r>
          </w:p>
        </w:tc>
        <w:tc>
          <w:tcPr>
            <w:tcW w:w="1457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D16138">
        <w:tc>
          <w:tcPr>
            <w:tcW w:w="30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434" w:type="pct"/>
          </w:tcPr>
          <w:p w:rsidR="00690D5A" w:rsidRPr="001C09B8" w:rsidRDefault="002232D7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2B72FF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Wykonawca zobowiązuje się do wymiany modułu  sprzętu na nowy w przypadku dokonania w okresie gwarancji 3 (trzech) napraw tego samego modułu sprzętu,  nie wynikających z winy użytkownika. W takim wypadku Wykonawca w przypadku kolejnej awarii sprzętu, nie wynikającej z winy użytkownika wymieni wadliwy moduł sprzęt na nowy w ciągu 24 godzin (dni robocze) od dnia stwierdzenia w/w awarii na własny koszt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.</w:t>
            </w:r>
            <w:r w:rsidRPr="00222CDC"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W</w:t>
            </w:r>
            <w:r w:rsidRPr="00222CDC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ymian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a</w:t>
            </w:r>
            <w:r w:rsidRPr="00222CDC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 xml:space="preserve"> wadliwego modułu (w przypadku konieczności sprowadzenia z zagranicy) do 5 dni roboczych (od poniedziałku do piątku)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9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57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D16138">
        <w:tc>
          <w:tcPr>
            <w:tcW w:w="30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434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809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57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D16138">
        <w:tc>
          <w:tcPr>
            <w:tcW w:w="301" w:type="pct"/>
            <w:hideMark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434" w:type="pct"/>
            <w:hideMark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809" w:type="pct"/>
            <w:hideMark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457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</w:tbl>
    <w:p w:rsidR="00CC138F" w:rsidRPr="00690D5A" w:rsidRDefault="00CC138F" w:rsidP="00CC138F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 xml:space="preserve">Uwaga: </w:t>
      </w:r>
      <w:r w:rsidRPr="00690D5A">
        <w:rPr>
          <w:rFonts w:asciiTheme="minorHAnsi" w:hAnsiTheme="minorHAnsi" w:cstheme="minorHAnsi"/>
          <w:b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690D5A" w:rsidRDefault="00CC138F" w:rsidP="00CC138F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:rsidR="00CC138F" w:rsidRPr="00690D5A" w:rsidRDefault="00CC138F" w:rsidP="00CC138F">
      <w:pPr>
        <w:jc w:val="right"/>
        <w:rPr>
          <w:rFonts w:asciiTheme="minorHAnsi" w:hAnsiTheme="minorHAnsi" w:cstheme="minorHAnsi"/>
          <w:lang w:eastAsia="pl-PL"/>
        </w:rPr>
      </w:pPr>
      <w:r w:rsidRPr="00690D5A">
        <w:rPr>
          <w:rFonts w:asciiTheme="minorHAnsi" w:hAnsiTheme="minorHAnsi" w:cstheme="minorHAnsi"/>
          <w:lang w:eastAsia="pl-PL"/>
        </w:rPr>
        <w:t xml:space="preserve">.................................................................................... </w:t>
      </w:r>
    </w:p>
    <w:p w:rsidR="00CC138F" w:rsidRPr="00690D5A" w:rsidRDefault="00CC138F" w:rsidP="00CC138F">
      <w:pPr>
        <w:jc w:val="right"/>
        <w:rPr>
          <w:rFonts w:asciiTheme="minorHAnsi" w:hAnsiTheme="minorHAnsi" w:cstheme="minorHAnsi"/>
          <w:u w:val="single"/>
        </w:rPr>
      </w:pPr>
      <w:r w:rsidRPr="00690D5A">
        <w:rPr>
          <w:rFonts w:asciiTheme="minorHAnsi" w:hAnsiTheme="minorHAnsi" w:cstheme="minorHAnsi"/>
          <w:u w:val="single"/>
          <w:lang w:eastAsia="pl-PL"/>
        </w:rPr>
        <w:t xml:space="preserve"> data i podpis</w:t>
      </w:r>
    </w:p>
    <w:sectPr w:rsidR="00CC138F" w:rsidRPr="00690D5A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D4F" w:rsidRDefault="00680D4F" w:rsidP="0087150F">
      <w:pPr>
        <w:spacing w:after="0" w:line="240" w:lineRule="auto"/>
      </w:pPr>
      <w:r>
        <w:separator/>
      </w:r>
    </w:p>
  </w:endnote>
  <w:endnote w:type="continuationSeparator" w:id="0">
    <w:p w:rsidR="00680D4F" w:rsidRDefault="00680D4F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546" w:rsidRPr="00C42261" w:rsidRDefault="00FF1546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D4F" w:rsidRDefault="00680D4F" w:rsidP="0087150F">
      <w:pPr>
        <w:spacing w:after="0" w:line="240" w:lineRule="auto"/>
      </w:pPr>
      <w:r>
        <w:separator/>
      </w:r>
    </w:p>
  </w:footnote>
  <w:footnote w:type="continuationSeparator" w:id="0">
    <w:p w:rsidR="00680D4F" w:rsidRDefault="00680D4F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4F12"/>
    <w:rsid w:val="00161AE4"/>
    <w:rsid w:val="001705AA"/>
    <w:rsid w:val="001940E4"/>
    <w:rsid w:val="001C09B8"/>
    <w:rsid w:val="001D15F3"/>
    <w:rsid w:val="001D5427"/>
    <w:rsid w:val="001D7A35"/>
    <w:rsid w:val="001E2A02"/>
    <w:rsid w:val="001E5941"/>
    <w:rsid w:val="00204A16"/>
    <w:rsid w:val="002232D7"/>
    <w:rsid w:val="00226ED9"/>
    <w:rsid w:val="00245BF9"/>
    <w:rsid w:val="002577E9"/>
    <w:rsid w:val="002669CE"/>
    <w:rsid w:val="002724C6"/>
    <w:rsid w:val="002808D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E7F0E"/>
    <w:rsid w:val="003F6C04"/>
    <w:rsid w:val="004438F6"/>
    <w:rsid w:val="00452D42"/>
    <w:rsid w:val="004623F9"/>
    <w:rsid w:val="00472B0B"/>
    <w:rsid w:val="00475178"/>
    <w:rsid w:val="00484F14"/>
    <w:rsid w:val="00493FD1"/>
    <w:rsid w:val="004C473F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80D4F"/>
    <w:rsid w:val="00686343"/>
    <w:rsid w:val="00690D5A"/>
    <w:rsid w:val="006930F9"/>
    <w:rsid w:val="0069648A"/>
    <w:rsid w:val="006A47C2"/>
    <w:rsid w:val="006A5E36"/>
    <w:rsid w:val="006C247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46"/>
    <w:rsid w:val="00865B62"/>
    <w:rsid w:val="0087150F"/>
    <w:rsid w:val="0087385F"/>
    <w:rsid w:val="00877ED6"/>
    <w:rsid w:val="008B7249"/>
    <w:rsid w:val="008B772B"/>
    <w:rsid w:val="008C67B4"/>
    <w:rsid w:val="008C7F5C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354E1"/>
    <w:rsid w:val="00A5074F"/>
    <w:rsid w:val="00A57C3D"/>
    <w:rsid w:val="00A61540"/>
    <w:rsid w:val="00A65CCC"/>
    <w:rsid w:val="00A76B6F"/>
    <w:rsid w:val="00AB61C5"/>
    <w:rsid w:val="00AD0015"/>
    <w:rsid w:val="00AD5148"/>
    <w:rsid w:val="00AE0129"/>
    <w:rsid w:val="00AE1FDA"/>
    <w:rsid w:val="00B0321A"/>
    <w:rsid w:val="00B26F13"/>
    <w:rsid w:val="00B34D79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4A8"/>
    <w:rsid w:val="00BF2652"/>
    <w:rsid w:val="00BF7621"/>
    <w:rsid w:val="00C36835"/>
    <w:rsid w:val="00C42261"/>
    <w:rsid w:val="00C54BEF"/>
    <w:rsid w:val="00C6237F"/>
    <w:rsid w:val="00C73F80"/>
    <w:rsid w:val="00C869EA"/>
    <w:rsid w:val="00C95800"/>
    <w:rsid w:val="00CC138F"/>
    <w:rsid w:val="00CD4F88"/>
    <w:rsid w:val="00CE085F"/>
    <w:rsid w:val="00CE3863"/>
    <w:rsid w:val="00CF5973"/>
    <w:rsid w:val="00CF7148"/>
    <w:rsid w:val="00D00790"/>
    <w:rsid w:val="00D16026"/>
    <w:rsid w:val="00D16138"/>
    <w:rsid w:val="00D26671"/>
    <w:rsid w:val="00D312E6"/>
    <w:rsid w:val="00D6290D"/>
    <w:rsid w:val="00D7433E"/>
    <w:rsid w:val="00DA0F8C"/>
    <w:rsid w:val="00DC5366"/>
    <w:rsid w:val="00DC69D1"/>
    <w:rsid w:val="00DE5AC6"/>
    <w:rsid w:val="00DF69AA"/>
    <w:rsid w:val="00E06BFA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04AF2"/>
    <w:rsid w:val="00F30305"/>
    <w:rsid w:val="00F33E24"/>
    <w:rsid w:val="00F50C51"/>
    <w:rsid w:val="00F6557F"/>
    <w:rsid w:val="00F67A73"/>
    <w:rsid w:val="00F81979"/>
    <w:rsid w:val="00F916B6"/>
    <w:rsid w:val="00F96955"/>
    <w:rsid w:val="00FA2C01"/>
    <w:rsid w:val="00FA3285"/>
    <w:rsid w:val="00FB0BD2"/>
    <w:rsid w:val="00FB1CFF"/>
    <w:rsid w:val="00FB48E9"/>
    <w:rsid w:val="00FC0C4B"/>
    <w:rsid w:val="00FC27E5"/>
    <w:rsid w:val="00FD095C"/>
    <w:rsid w:val="00FF1546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6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4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3694D-B429-431C-82E9-56BA20F6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1837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Tomasz Miazek</cp:lastModifiedBy>
  <cp:revision>2</cp:revision>
  <cp:lastPrinted>2024-03-01T06:52:00Z</cp:lastPrinted>
  <dcterms:created xsi:type="dcterms:W3CDTF">2024-11-14T15:40:00Z</dcterms:created>
  <dcterms:modified xsi:type="dcterms:W3CDTF">2024-11-14T15:40:00Z</dcterms:modified>
</cp:coreProperties>
</file>