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187DC3A1" w:rsidR="00012D4E" w:rsidRPr="00293C88" w:rsidRDefault="00FC0FA7" w:rsidP="00293C88">
      <w:pPr>
        <w:pStyle w:val="Bezodstpw"/>
        <w:spacing w:line="360" w:lineRule="auto"/>
        <w:jc w:val="both"/>
        <w:rPr>
          <w:b/>
          <w:bCs/>
          <w:color w:val="1F3864" w:themeColor="accent1" w:themeShade="80"/>
          <w:sz w:val="20"/>
          <w:szCs w:val="20"/>
        </w:rPr>
      </w:pPr>
      <w:r w:rsidRPr="00293C88">
        <w:rPr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293C88">
        <w:rPr>
          <w:sz w:val="20"/>
          <w:szCs w:val="20"/>
          <w:lang w:eastAsia="pl-PL"/>
        </w:rPr>
        <w:t xml:space="preserve"> dla zadania pn. </w:t>
      </w:r>
      <w:r w:rsidR="00293C88" w:rsidRPr="00293C88">
        <w:rPr>
          <w:rFonts w:eastAsia="Times New Roman"/>
          <w:bCs/>
          <w:color w:val="1F3864" w:themeColor="accent1" w:themeShade="80"/>
          <w:kern w:val="0"/>
          <w:sz w:val="20"/>
          <w:szCs w:val="20"/>
          <w:lang w:eastAsia="pl-PL"/>
        </w:rPr>
        <w:t>„</w:t>
      </w:r>
      <w:r w:rsidR="00293C88" w:rsidRPr="00293C88">
        <w:rPr>
          <w:b/>
          <w:color w:val="1F3864" w:themeColor="accent1" w:themeShade="80"/>
          <w:sz w:val="20"/>
          <w:szCs w:val="20"/>
        </w:rPr>
        <w:t xml:space="preserve">Zakup, dostawa i montaż nowych urządzeń na </w:t>
      </w:r>
      <w:proofErr w:type="spellStart"/>
      <w:r w:rsidR="00293C88" w:rsidRPr="00293C88">
        <w:rPr>
          <w:b/>
          <w:color w:val="1F3864" w:themeColor="accent1" w:themeShade="80"/>
          <w:sz w:val="20"/>
          <w:szCs w:val="20"/>
        </w:rPr>
        <w:t>skateparku</w:t>
      </w:r>
      <w:proofErr w:type="spellEnd"/>
      <w:r w:rsidR="00293C88" w:rsidRPr="00293C88">
        <w:rPr>
          <w:b/>
          <w:color w:val="1F3864" w:themeColor="accent1" w:themeShade="80"/>
          <w:sz w:val="20"/>
          <w:szCs w:val="20"/>
        </w:rPr>
        <w:t xml:space="preserve"> w Rożentalu-II Etap”</w:t>
      </w:r>
      <w:r w:rsidR="00293C88" w:rsidRPr="00293C88">
        <w:rPr>
          <w:b/>
          <w:color w:val="1F3864" w:themeColor="accent1" w:themeShade="80"/>
          <w:sz w:val="20"/>
          <w:szCs w:val="20"/>
        </w:rPr>
        <w:t xml:space="preserve"> </w:t>
      </w:r>
      <w:r w:rsidR="004846A9" w:rsidRPr="00293C88">
        <w:rPr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FD738" w14:textId="77777777" w:rsidR="00155AB0" w:rsidRDefault="00155AB0" w:rsidP="00FC0FA7">
      <w:pPr>
        <w:spacing w:after="0" w:line="240" w:lineRule="auto"/>
      </w:pPr>
      <w:r>
        <w:separator/>
      </w:r>
    </w:p>
  </w:endnote>
  <w:endnote w:type="continuationSeparator" w:id="0">
    <w:p w14:paraId="551B5603" w14:textId="77777777" w:rsidR="00155AB0" w:rsidRDefault="00155AB0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59B40D3D" w14:textId="77777777" w:rsidR="00293C88" w:rsidRPr="00293C88" w:rsidRDefault="00293C88" w:rsidP="00293C88">
    <w:pPr>
      <w:pStyle w:val="Bezodstpw"/>
      <w:spacing w:line="360" w:lineRule="auto"/>
      <w:ind w:left="426"/>
      <w:jc w:val="center"/>
      <w:rPr>
        <w:b/>
        <w:color w:val="1F3864" w:themeColor="accent1" w:themeShade="80"/>
        <w:sz w:val="18"/>
        <w:szCs w:val="18"/>
      </w:rPr>
    </w:pPr>
    <w:r w:rsidRPr="00293C88">
      <w:rPr>
        <w:rFonts w:eastAsia="Times New Roman"/>
        <w:bCs/>
        <w:color w:val="1F3864" w:themeColor="accent1" w:themeShade="80"/>
        <w:kern w:val="0"/>
        <w:sz w:val="18"/>
        <w:szCs w:val="18"/>
        <w:lang w:eastAsia="pl-PL"/>
      </w:rPr>
      <w:t>„</w:t>
    </w:r>
    <w:r w:rsidRPr="00293C88">
      <w:rPr>
        <w:b/>
        <w:color w:val="1F3864" w:themeColor="accent1" w:themeShade="80"/>
        <w:sz w:val="18"/>
        <w:szCs w:val="18"/>
      </w:rPr>
      <w:t xml:space="preserve">Zakup, dostawa i montaż nowych urządzeń na </w:t>
    </w:r>
    <w:proofErr w:type="spellStart"/>
    <w:r w:rsidRPr="00293C88">
      <w:rPr>
        <w:b/>
        <w:color w:val="1F3864" w:themeColor="accent1" w:themeShade="80"/>
        <w:sz w:val="18"/>
        <w:szCs w:val="18"/>
      </w:rPr>
      <w:t>skateparku</w:t>
    </w:r>
    <w:proofErr w:type="spellEnd"/>
    <w:r w:rsidRPr="00293C88">
      <w:rPr>
        <w:b/>
        <w:color w:val="1F3864" w:themeColor="accent1" w:themeShade="80"/>
        <w:sz w:val="18"/>
        <w:szCs w:val="18"/>
      </w:rPr>
      <w:t xml:space="preserve"> w Rożentalu-II Etap”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328F" w14:textId="77777777" w:rsidR="00155AB0" w:rsidRDefault="00155AB0" w:rsidP="00FC0FA7">
      <w:pPr>
        <w:spacing w:after="0" w:line="240" w:lineRule="auto"/>
      </w:pPr>
      <w:r>
        <w:separator/>
      </w:r>
    </w:p>
  </w:footnote>
  <w:footnote w:type="continuationSeparator" w:id="0">
    <w:p w14:paraId="1740ADF1" w14:textId="77777777" w:rsidR="00155AB0" w:rsidRDefault="00155AB0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225234FE" w:rsidR="00FC0FA7" w:rsidRPr="00367A35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864249">
      <w:rPr>
        <w:noProof/>
        <w:sz w:val="20"/>
        <w:szCs w:val="20"/>
      </w:rPr>
      <w:t>3</w:t>
    </w:r>
    <w:r w:rsidR="003E5C64" w:rsidRPr="00367A35">
      <w:rPr>
        <w:noProof/>
        <w:sz w:val="20"/>
        <w:szCs w:val="20"/>
      </w:rPr>
      <w:t>.</w:t>
    </w:r>
    <w:r w:rsidRPr="00367A35">
      <w:rPr>
        <w:noProof/>
        <w:sz w:val="20"/>
        <w:szCs w:val="20"/>
      </w:rPr>
      <w:t>202</w:t>
    </w:r>
    <w:r w:rsidR="00293C88">
      <w:rPr>
        <w:noProof/>
        <w:sz w:val="20"/>
        <w:szCs w:val="20"/>
      </w:rPr>
      <w:t>5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C0C9C"/>
    <w:rsid w:val="000C5A99"/>
    <w:rsid w:val="00155AB0"/>
    <w:rsid w:val="001F16BF"/>
    <w:rsid w:val="00207632"/>
    <w:rsid w:val="00260AD3"/>
    <w:rsid w:val="002855AE"/>
    <w:rsid w:val="00293C88"/>
    <w:rsid w:val="002A16E8"/>
    <w:rsid w:val="003421BD"/>
    <w:rsid w:val="00367A35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B4AF0"/>
    <w:rsid w:val="005E31FF"/>
    <w:rsid w:val="006B0A8D"/>
    <w:rsid w:val="006D18B0"/>
    <w:rsid w:val="006E0527"/>
    <w:rsid w:val="006F3588"/>
    <w:rsid w:val="00702A3D"/>
    <w:rsid w:val="007278B5"/>
    <w:rsid w:val="007955B4"/>
    <w:rsid w:val="007B554A"/>
    <w:rsid w:val="007F3D0D"/>
    <w:rsid w:val="00821EF0"/>
    <w:rsid w:val="00861AFB"/>
    <w:rsid w:val="00864249"/>
    <w:rsid w:val="00867CC1"/>
    <w:rsid w:val="00877D45"/>
    <w:rsid w:val="008C03D9"/>
    <w:rsid w:val="00984DBF"/>
    <w:rsid w:val="009C50B7"/>
    <w:rsid w:val="00A0709D"/>
    <w:rsid w:val="00A30DB7"/>
    <w:rsid w:val="00A71CD8"/>
    <w:rsid w:val="00A720CA"/>
    <w:rsid w:val="00A733AF"/>
    <w:rsid w:val="00AD0A35"/>
    <w:rsid w:val="00B0778C"/>
    <w:rsid w:val="00B1003F"/>
    <w:rsid w:val="00B61680"/>
    <w:rsid w:val="00B90B54"/>
    <w:rsid w:val="00B96933"/>
    <w:rsid w:val="00BC0151"/>
    <w:rsid w:val="00C17A1A"/>
    <w:rsid w:val="00C2197C"/>
    <w:rsid w:val="00CA6D82"/>
    <w:rsid w:val="00CC62D6"/>
    <w:rsid w:val="00CE57D1"/>
    <w:rsid w:val="00D52552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  <w:style w:type="paragraph" w:styleId="Bezodstpw">
    <w:name w:val="No Spacing"/>
    <w:uiPriority w:val="1"/>
    <w:qFormat/>
    <w:rsid w:val="00293C88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44</cp:revision>
  <dcterms:created xsi:type="dcterms:W3CDTF">2021-03-11T10:21:00Z</dcterms:created>
  <dcterms:modified xsi:type="dcterms:W3CDTF">2025-02-17T08:52:00Z</dcterms:modified>
</cp:coreProperties>
</file>