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5E028E69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650B4" w:rsidRPr="00CD48FD">
        <w:rPr>
          <w:rFonts w:ascii="Times New Roman" w:hAnsi="Times New Roman"/>
          <w:b/>
          <w:sz w:val="24"/>
          <w:szCs w:val="24"/>
        </w:rPr>
        <w:t>Termomodernizacja budynku Miejsko-Gminnego Ośrodka Pomocy Społecznej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6E5BCCC1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E650B4" w:rsidRPr="00E650B4">
        <w:rPr>
          <w:rFonts w:ascii="Times New Roman" w:hAnsi="Times New Roman"/>
          <w:b/>
        </w:rPr>
        <w:t>Termomodernizacja budynku Miejsko-Gminnego Ośrodka Pomocy Społecznej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Do oferty załączamy załącznik – Zestawienie kosztów 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0989E50E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sięcy gwarancji jakości liczonej od odbioru całości 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665A3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665A3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 xml:space="preserve">w rozumieniu przepisów o zwalczaniu nieuczciwej konkurencji zgodnie </w:t>
      </w:r>
      <w:r w:rsidRPr="006E7237">
        <w:rPr>
          <w:rFonts w:ascii="Times New Roman" w:hAnsi="Times New Roman" w:cs="Times New Roman"/>
        </w:rPr>
        <w:lastRenderedPageBreak/>
        <w:t>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>, iż – za wyjątkiem informacji zawartych pliku o nazwie:„…………………….................” wszelkie załączniki są jawne i</w:t>
      </w:r>
      <w:bookmarkStart w:id="1" w:name="_GoBack"/>
      <w:bookmarkEnd w:id="1"/>
      <w:r w:rsidRPr="006E7237">
        <w:rPr>
          <w:rFonts w:ascii="Times New Roman" w:hAnsi="Times New Roman" w:cs="Times New Roman"/>
        </w:rPr>
        <w:t xml:space="preserve">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07A2A91F" w14:textId="2CFDCF61" w:rsidR="003E39D3" w:rsidRPr="00E650B4" w:rsidRDefault="00E650B4" w:rsidP="00E650B4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9FB7E55" wp14:editId="402A7BD0">
                  <wp:extent cx="5760720" cy="552267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0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Sfinansowano w ramach reakcji Unii na pandemię COVID-19</w:t>
            </w:r>
          </w:p>
          <w:p w14:paraId="3FE07ADB" w14:textId="70D060A7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665A37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665A3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4DB0ECAD" w:rsidR="009D411D" w:rsidRPr="006E7237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7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E8CD-90B9-4ED2-8C62-9900EECD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PWOZNIAK-L</cp:lastModifiedBy>
  <cp:revision>41</cp:revision>
  <cp:lastPrinted>2022-03-22T09:05:00Z</cp:lastPrinted>
  <dcterms:created xsi:type="dcterms:W3CDTF">2021-06-25T19:19:00Z</dcterms:created>
  <dcterms:modified xsi:type="dcterms:W3CDTF">2022-03-29T09:05:00Z</dcterms:modified>
</cp:coreProperties>
</file>